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2"/>
      <w:bookmarkStart w:id="1" w:name="OLE_LINK1"/>
      <w:bookmarkStart w:id="2" w:name="OLE_LINK3"/>
      <w:bookmarkStart w:id="3" w:name="OLE_LINK4"/>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rFonts w:hint="eastAsia" w:eastAsia="宋体"/>
          <w:b/>
          <w:bCs/>
          <w:szCs w:val="21"/>
          <w:u w:val="single"/>
          <w:lang w:val="en-US"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w:t>
      </w:r>
      <w:r>
        <w:rPr>
          <w:rFonts w:hint="eastAsia"/>
          <w:b/>
          <w:bCs/>
          <w:szCs w:val="21"/>
          <w:lang w:val="en-US" w:eastAsia="zh-CN"/>
        </w:rPr>
        <w:t xml:space="preserve">成人教育学院         </w:t>
      </w:r>
      <w:r>
        <w:rPr>
          <w:rFonts w:hint="eastAsia"/>
          <w:b/>
          <w:bCs/>
          <w:szCs w:val="21"/>
        </w:rPr>
        <w:t xml:space="preserve"> 姓名：</w:t>
      </w:r>
      <w:r>
        <w:rPr>
          <w:rFonts w:hint="eastAsia"/>
          <w:b/>
          <w:bCs/>
          <w:szCs w:val="21"/>
          <w:lang w:val="en-US" w:eastAsia="zh-CN"/>
        </w:rPr>
        <w:t>银奕淇</w:t>
      </w:r>
      <w:r>
        <w:rPr>
          <w:rFonts w:hint="eastAsia"/>
          <w:b/>
          <w:bCs/>
          <w:szCs w:val="21"/>
        </w:rPr>
        <w:t xml:space="preserve">  </w:t>
      </w:r>
      <w:r>
        <w:rPr>
          <w:rFonts w:hint="eastAsia"/>
          <w:b/>
          <w:bCs/>
          <w:szCs w:val="21"/>
          <w:lang w:val="en-US" w:eastAsia="zh-CN"/>
        </w:rPr>
        <w:t xml:space="preserve">   </w:t>
      </w:r>
      <w:r>
        <w:rPr>
          <w:rFonts w:hint="eastAsia"/>
          <w:b/>
          <w:bCs/>
          <w:szCs w:val="21"/>
        </w:rPr>
        <w:t xml:space="preserve"> </w:t>
      </w:r>
      <w:r>
        <w:rPr>
          <w:rFonts w:hint="eastAsia"/>
          <w:b/>
          <w:bCs/>
          <w:szCs w:val="21"/>
          <w:lang w:val="en-US" w:eastAsia="zh-CN"/>
        </w:rPr>
        <w:t xml:space="preserve">     </w:t>
      </w:r>
      <w:r>
        <w:rPr>
          <w:rFonts w:hint="eastAsia"/>
          <w:b/>
          <w:bCs/>
          <w:szCs w:val="21"/>
        </w:rPr>
        <w:t>性别：</w:t>
      </w:r>
      <w:r>
        <w:rPr>
          <w:rFonts w:hint="eastAsia"/>
          <w:b/>
          <w:bCs/>
          <w:szCs w:val="21"/>
          <w:lang w:val="en-US" w:eastAsia="zh-CN"/>
        </w:rPr>
        <w:t>男</w:t>
      </w:r>
      <w:r>
        <w:rPr>
          <w:rFonts w:hint="eastAsia"/>
          <w:b/>
          <w:bCs/>
          <w:szCs w:val="21"/>
        </w:rPr>
        <w:t xml:space="preserve">   </w:t>
      </w:r>
      <w:r>
        <w:rPr>
          <w:rFonts w:hint="eastAsia"/>
          <w:b/>
          <w:bCs/>
          <w:szCs w:val="21"/>
          <w:lang w:val="en-US" w:eastAsia="zh-CN"/>
        </w:rPr>
        <w:t xml:space="preserve">     </w:t>
      </w:r>
      <w:r>
        <w:rPr>
          <w:rFonts w:hint="eastAsia"/>
          <w:b/>
          <w:bCs/>
          <w:szCs w:val="21"/>
        </w:rPr>
        <w:t xml:space="preserve"> 申报职称及类型：</w:t>
      </w:r>
      <w:r>
        <w:rPr>
          <w:rFonts w:hint="eastAsia"/>
          <w:b/>
          <w:bCs/>
          <w:szCs w:val="21"/>
          <w:lang w:val="en-US" w:eastAsia="zh-CN"/>
        </w:rPr>
        <w:t xml:space="preserve"> 教授(教学型)         </w:t>
      </w:r>
      <w:r>
        <w:rPr>
          <w:rFonts w:hint="eastAsia"/>
          <w:b/>
          <w:bCs/>
          <w:szCs w:val="21"/>
        </w:rPr>
        <w:t xml:space="preserve">申报所属学科（专业）： </w:t>
      </w:r>
      <w:r>
        <w:rPr>
          <w:rFonts w:hint="eastAsia"/>
          <w:b/>
          <w:bCs/>
          <w:szCs w:val="21"/>
          <w:lang w:val="en-US" w:eastAsia="zh-CN"/>
        </w:rPr>
        <w:t xml:space="preserve">高教管理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val="en-US" w:eastAsia="zh-CN"/>
        </w:rPr>
        <w:t>是</w:t>
      </w:r>
    </w:p>
    <w:tbl>
      <w:tblPr>
        <w:tblStyle w:val="7"/>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206"/>
        <w:gridCol w:w="1612"/>
        <w:gridCol w:w="1180"/>
        <w:gridCol w:w="2187"/>
        <w:gridCol w:w="1482"/>
        <w:gridCol w:w="1427"/>
        <w:gridCol w:w="1187"/>
        <w:gridCol w:w="2049"/>
        <w:gridCol w:w="1338"/>
        <w:gridCol w:w="1247"/>
        <w:gridCol w:w="908"/>
        <w:gridCol w:w="1076"/>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206"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12" w:type="dxa"/>
            <w:vAlign w:val="center"/>
          </w:tcPr>
          <w:p w14:paraId="707B784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51A2CD41">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187" w:type="dxa"/>
            <w:vAlign w:val="center"/>
          </w:tcPr>
          <w:p w14:paraId="1503E5FE">
            <w:pPr>
              <w:adjustRightInd w:val="0"/>
              <w:snapToGrid w:val="0"/>
              <w:spacing w:line="276" w:lineRule="auto"/>
              <w:jc w:val="center"/>
              <w:rPr>
                <w:szCs w:val="21"/>
              </w:rPr>
            </w:pPr>
            <w:r>
              <w:rPr>
                <w:rFonts w:hint="eastAsia"/>
                <w:szCs w:val="21"/>
              </w:rPr>
              <w:t>毕业学校</w:t>
            </w:r>
          </w:p>
        </w:tc>
        <w:tc>
          <w:tcPr>
            <w:tcW w:w="1482" w:type="dxa"/>
            <w:vAlign w:val="center"/>
          </w:tcPr>
          <w:p w14:paraId="4D43762B">
            <w:pPr>
              <w:adjustRightInd w:val="0"/>
              <w:snapToGrid w:val="0"/>
              <w:spacing w:line="276" w:lineRule="auto"/>
              <w:jc w:val="center"/>
              <w:rPr>
                <w:szCs w:val="21"/>
              </w:rPr>
            </w:pPr>
            <w:r>
              <w:rPr>
                <w:rFonts w:hint="eastAsia"/>
                <w:szCs w:val="21"/>
              </w:rPr>
              <w:t>所学专业</w:t>
            </w:r>
          </w:p>
        </w:tc>
        <w:tc>
          <w:tcPr>
            <w:tcW w:w="1427"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049" w:type="dxa"/>
            <w:vAlign w:val="center"/>
          </w:tcPr>
          <w:p w14:paraId="7BD72C48">
            <w:pPr>
              <w:adjustRightInd w:val="0"/>
              <w:snapToGrid w:val="0"/>
              <w:spacing w:line="276" w:lineRule="auto"/>
              <w:jc w:val="center"/>
              <w:rPr>
                <w:szCs w:val="21"/>
              </w:rPr>
            </w:pPr>
            <w:r>
              <w:rPr>
                <w:rFonts w:hint="eastAsia"/>
                <w:szCs w:val="21"/>
              </w:rPr>
              <w:t>毕业学校</w:t>
            </w:r>
          </w:p>
        </w:tc>
        <w:tc>
          <w:tcPr>
            <w:tcW w:w="1338"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206" w:type="dxa"/>
            <w:vAlign w:val="center"/>
          </w:tcPr>
          <w:p w14:paraId="54A2E1B5">
            <w:pPr>
              <w:adjustRightInd w:val="0"/>
              <w:snapToGrid w:val="0"/>
              <w:spacing w:line="276" w:lineRule="auto"/>
              <w:jc w:val="center"/>
              <w:rPr>
                <w:szCs w:val="21"/>
              </w:rPr>
            </w:pPr>
            <w:r>
              <w:rPr>
                <w:rFonts w:hint="eastAsia"/>
                <w:vertAlign w:val="baseline"/>
                <w:lang w:val="en-US" w:eastAsia="zh-CN"/>
              </w:rPr>
              <w:t>副教授</w:t>
            </w:r>
          </w:p>
        </w:tc>
        <w:tc>
          <w:tcPr>
            <w:tcW w:w="1612" w:type="dxa"/>
            <w:vAlign w:val="center"/>
          </w:tcPr>
          <w:p w14:paraId="338B6C8E">
            <w:pPr>
              <w:adjustRightInd w:val="0"/>
              <w:snapToGrid w:val="0"/>
              <w:spacing w:line="276" w:lineRule="auto"/>
              <w:jc w:val="center"/>
              <w:rPr>
                <w:rFonts w:hint="default" w:eastAsia="宋体"/>
                <w:szCs w:val="21"/>
                <w:lang w:val="en-US" w:eastAsia="zh-CN"/>
              </w:rPr>
            </w:pPr>
            <w:r>
              <w:rPr>
                <w:rFonts w:hint="eastAsia"/>
                <w:szCs w:val="21"/>
                <w:lang w:val="en-US" w:eastAsia="zh-CN"/>
              </w:rPr>
              <w:t>2013年12月</w:t>
            </w:r>
          </w:p>
        </w:tc>
        <w:tc>
          <w:tcPr>
            <w:tcW w:w="1180" w:type="dxa"/>
            <w:vAlign w:val="center"/>
          </w:tcPr>
          <w:p w14:paraId="226F5EBD">
            <w:pPr>
              <w:adjustRightInd w:val="0"/>
              <w:snapToGrid w:val="0"/>
              <w:spacing w:line="276" w:lineRule="auto"/>
              <w:jc w:val="center"/>
              <w:rPr>
                <w:rFonts w:hint="eastAsia" w:eastAsia="宋体"/>
                <w:szCs w:val="21"/>
                <w:lang w:val="en-US" w:eastAsia="zh-CN"/>
              </w:rPr>
            </w:pPr>
            <w:r>
              <w:rPr>
                <w:rFonts w:hint="eastAsia"/>
                <w:szCs w:val="21"/>
                <w:lang w:val="en-US" w:eastAsia="zh-CN"/>
              </w:rPr>
              <w:t>本科</w:t>
            </w:r>
          </w:p>
        </w:tc>
        <w:tc>
          <w:tcPr>
            <w:tcW w:w="2187" w:type="dxa"/>
            <w:vAlign w:val="center"/>
          </w:tcPr>
          <w:p w14:paraId="021F323E">
            <w:pPr>
              <w:adjustRightInd w:val="0"/>
              <w:snapToGrid w:val="0"/>
              <w:spacing w:line="276" w:lineRule="auto"/>
              <w:jc w:val="center"/>
              <w:rPr>
                <w:rFonts w:hint="default" w:eastAsia="宋体"/>
                <w:szCs w:val="21"/>
                <w:lang w:val="en-US" w:eastAsia="zh-CN"/>
              </w:rPr>
            </w:pPr>
            <w:r>
              <w:rPr>
                <w:rFonts w:hint="eastAsia"/>
                <w:szCs w:val="21"/>
                <w:lang w:val="en-US" w:eastAsia="zh-CN"/>
              </w:rPr>
              <w:t>湖南大学</w:t>
            </w:r>
          </w:p>
        </w:tc>
        <w:tc>
          <w:tcPr>
            <w:tcW w:w="1482" w:type="dxa"/>
            <w:vAlign w:val="center"/>
          </w:tcPr>
          <w:p w14:paraId="0D1A0DCB">
            <w:pPr>
              <w:adjustRightInd w:val="0"/>
              <w:snapToGrid w:val="0"/>
              <w:spacing w:line="276" w:lineRule="auto"/>
              <w:jc w:val="center"/>
              <w:rPr>
                <w:rFonts w:hint="default" w:eastAsia="宋体"/>
                <w:szCs w:val="21"/>
                <w:lang w:val="en-US" w:eastAsia="zh-CN"/>
              </w:rPr>
            </w:pPr>
            <w:r>
              <w:rPr>
                <w:rFonts w:hint="eastAsia"/>
                <w:szCs w:val="21"/>
                <w:lang w:val="en-US" w:eastAsia="zh-CN"/>
              </w:rPr>
              <w:t>工业管理工程</w:t>
            </w:r>
          </w:p>
        </w:tc>
        <w:tc>
          <w:tcPr>
            <w:tcW w:w="1427" w:type="dxa"/>
            <w:vAlign w:val="center"/>
          </w:tcPr>
          <w:p w14:paraId="76744ADB">
            <w:pPr>
              <w:adjustRightInd w:val="0"/>
              <w:snapToGrid w:val="0"/>
              <w:spacing w:line="276" w:lineRule="auto"/>
              <w:jc w:val="center"/>
              <w:rPr>
                <w:rFonts w:hint="default" w:eastAsia="宋体"/>
                <w:szCs w:val="21"/>
                <w:lang w:val="en-US" w:eastAsia="zh-CN"/>
              </w:rPr>
            </w:pPr>
            <w:r>
              <w:rPr>
                <w:rFonts w:hint="eastAsia"/>
                <w:szCs w:val="21"/>
                <w:lang w:val="en-US" w:eastAsia="zh-CN"/>
              </w:rPr>
              <w:t>2007年6月</w:t>
            </w:r>
          </w:p>
        </w:tc>
        <w:tc>
          <w:tcPr>
            <w:tcW w:w="1187" w:type="dxa"/>
            <w:vAlign w:val="center"/>
          </w:tcPr>
          <w:p w14:paraId="5A7CFCD9">
            <w:pPr>
              <w:adjustRightInd w:val="0"/>
              <w:snapToGrid w:val="0"/>
              <w:spacing w:line="276" w:lineRule="auto"/>
              <w:jc w:val="center"/>
              <w:rPr>
                <w:rFonts w:hint="default" w:eastAsia="宋体"/>
                <w:szCs w:val="21"/>
                <w:lang w:val="en-US" w:eastAsia="zh-CN"/>
              </w:rPr>
            </w:pPr>
            <w:r>
              <w:rPr>
                <w:rFonts w:hint="eastAsia"/>
                <w:szCs w:val="21"/>
                <w:lang w:val="en-US" w:eastAsia="zh-CN"/>
              </w:rPr>
              <w:t>硕士</w:t>
            </w:r>
          </w:p>
        </w:tc>
        <w:tc>
          <w:tcPr>
            <w:tcW w:w="2049" w:type="dxa"/>
            <w:vAlign w:val="center"/>
          </w:tcPr>
          <w:p w14:paraId="58890F95">
            <w:pPr>
              <w:adjustRightInd w:val="0"/>
              <w:snapToGrid w:val="0"/>
              <w:spacing w:line="276" w:lineRule="auto"/>
              <w:jc w:val="center"/>
              <w:rPr>
                <w:rFonts w:hint="default" w:eastAsia="宋体"/>
                <w:szCs w:val="21"/>
                <w:lang w:val="en-US" w:eastAsia="zh-CN"/>
              </w:rPr>
            </w:pPr>
            <w:r>
              <w:rPr>
                <w:rFonts w:hint="eastAsia"/>
                <w:szCs w:val="21"/>
                <w:lang w:val="en-US" w:eastAsia="zh-CN"/>
              </w:rPr>
              <w:t>南华大学</w:t>
            </w:r>
          </w:p>
        </w:tc>
        <w:tc>
          <w:tcPr>
            <w:tcW w:w="1338" w:type="dxa"/>
            <w:vAlign w:val="center"/>
          </w:tcPr>
          <w:p w14:paraId="16C4107A">
            <w:pPr>
              <w:adjustRightInd w:val="0"/>
              <w:snapToGrid w:val="0"/>
              <w:spacing w:line="276" w:lineRule="auto"/>
              <w:jc w:val="center"/>
              <w:rPr>
                <w:rFonts w:hint="default" w:eastAsia="宋体"/>
                <w:szCs w:val="21"/>
                <w:lang w:val="en-US" w:eastAsia="zh-CN"/>
              </w:rPr>
            </w:pPr>
            <w:r>
              <w:rPr>
                <w:rFonts w:hint="eastAsia"/>
                <w:szCs w:val="21"/>
                <w:lang w:val="en-US" w:eastAsia="zh-CN"/>
              </w:rPr>
              <w:t>计算机技术</w:t>
            </w:r>
          </w:p>
        </w:tc>
        <w:tc>
          <w:tcPr>
            <w:tcW w:w="1247" w:type="dxa"/>
            <w:vAlign w:val="center"/>
          </w:tcPr>
          <w:p w14:paraId="3D3F2A89">
            <w:pPr>
              <w:adjustRightInd w:val="0"/>
              <w:snapToGrid w:val="0"/>
              <w:spacing w:line="276" w:lineRule="auto"/>
              <w:jc w:val="center"/>
              <w:rPr>
                <w:rFonts w:hint="default" w:eastAsia="宋体"/>
                <w:szCs w:val="21"/>
                <w:lang w:val="en-US" w:eastAsia="zh-CN"/>
              </w:rPr>
            </w:pPr>
            <w:r>
              <w:rPr>
                <w:rFonts w:hint="eastAsia"/>
                <w:szCs w:val="21"/>
                <w:lang w:val="en-US" w:eastAsia="zh-CN"/>
              </w:rPr>
              <w:t>2014年6月</w:t>
            </w:r>
          </w:p>
        </w:tc>
        <w:tc>
          <w:tcPr>
            <w:tcW w:w="3258" w:type="dxa"/>
            <w:gridSpan w:val="3"/>
            <w:vAlign w:val="center"/>
          </w:tcPr>
          <w:p w14:paraId="4FA86394">
            <w:pPr>
              <w:adjustRightInd w:val="0"/>
              <w:snapToGrid w:val="0"/>
              <w:spacing w:line="276" w:lineRule="auto"/>
              <w:jc w:val="center"/>
              <w:rPr>
                <w:rFonts w:hint="default" w:eastAsia="宋体"/>
                <w:color w:val="A6A6A6" w:themeColor="background1" w:themeShade="A6"/>
                <w:szCs w:val="21"/>
                <w:lang w:val="en-US" w:eastAsia="zh-CN"/>
              </w:rPr>
            </w:pPr>
            <w:r>
              <w:rPr>
                <w:rFonts w:hint="eastAsia" w:ascii="Times New Roman" w:hAnsi="Times New Roman" w:eastAsia="宋体" w:cs="Times New Roman"/>
                <w:szCs w:val="21"/>
                <w:lang w:val="en-US" w:eastAsia="zh-CN"/>
              </w:rPr>
              <w:t>教学与科研管理</w:t>
            </w:r>
          </w:p>
        </w:tc>
        <w:tc>
          <w:tcPr>
            <w:tcW w:w="2331" w:type="dxa"/>
            <w:vAlign w:val="center"/>
          </w:tcPr>
          <w:p w14:paraId="6C0E88B5">
            <w:pPr>
              <w:adjustRightInd w:val="0"/>
              <w:snapToGrid w:val="0"/>
              <w:spacing w:line="276" w:lineRule="auto"/>
              <w:jc w:val="center"/>
              <w:rPr>
                <w:rFonts w:hint="default" w:eastAsia="宋体"/>
                <w:color w:val="A6A6A6" w:themeColor="background1" w:themeShade="A6"/>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206" w:type="dxa"/>
            <w:vAlign w:val="center"/>
          </w:tcPr>
          <w:p w14:paraId="27D9DA44">
            <w:pPr>
              <w:adjustRightInd w:val="0"/>
              <w:snapToGrid w:val="0"/>
              <w:spacing w:line="276" w:lineRule="auto"/>
              <w:jc w:val="center"/>
              <w:rPr>
                <w:b/>
                <w:szCs w:val="21"/>
              </w:rPr>
            </w:pPr>
            <w:r>
              <w:rPr>
                <w:rFonts w:hint="eastAsia"/>
                <w:b/>
                <w:szCs w:val="21"/>
              </w:rPr>
              <w:t>二级指标</w:t>
            </w:r>
          </w:p>
        </w:tc>
        <w:tc>
          <w:tcPr>
            <w:tcW w:w="14617"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076"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adjustRightInd w:val="0"/>
              <w:snapToGrid w:val="0"/>
              <w:spacing w:line="276" w:lineRule="auto"/>
              <w:jc w:val="center"/>
              <w:rPr>
                <w:rFonts w:hint="default" w:eastAsia="宋体"/>
                <w:b/>
                <w:szCs w:val="21"/>
                <w:lang w:val="en-US" w:eastAsia="zh-CN"/>
              </w:rPr>
            </w:pPr>
            <w:bookmarkStart w:id="4" w:name="_GoBack" w:colFirst="11" w:colLast="11"/>
            <w:r>
              <w:rPr>
                <w:rFonts w:hint="eastAsia"/>
                <w:b/>
                <w:szCs w:val="21"/>
              </w:rPr>
              <w:t>1.思想政治与师德</w:t>
            </w:r>
            <w:r>
              <w:rPr>
                <w:rFonts w:hint="eastAsia"/>
                <w:b/>
                <w:szCs w:val="21"/>
                <w:lang w:val="en-US" w:eastAsia="zh-CN"/>
              </w:rPr>
              <w:t>师风（满分40分）</w:t>
            </w:r>
          </w:p>
        </w:tc>
        <w:tc>
          <w:tcPr>
            <w:tcW w:w="1206" w:type="dxa"/>
            <w:vAlign w:val="center"/>
          </w:tcPr>
          <w:p w14:paraId="2FB1F834">
            <w:pPr>
              <w:adjustRightInd w:val="0"/>
              <w:snapToGrid w:val="0"/>
              <w:spacing w:line="276" w:lineRule="auto"/>
              <w:jc w:val="center"/>
              <w:rPr>
                <w:szCs w:val="21"/>
              </w:rPr>
            </w:pPr>
            <w:r>
              <w:rPr>
                <w:rFonts w:hint="eastAsia"/>
                <w:szCs w:val="21"/>
              </w:rPr>
              <w:t xml:space="preserve">1-1 </w:t>
            </w:r>
          </w:p>
        </w:tc>
        <w:tc>
          <w:tcPr>
            <w:tcW w:w="14617" w:type="dxa"/>
            <w:gridSpan w:val="10"/>
            <w:vAlign w:val="center"/>
          </w:tcPr>
          <w:p w14:paraId="726327DB">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工作业绩突出，个人获得国家级、省部级、市厅级表彰奖励。</w:t>
            </w:r>
          </w:p>
          <w:p w14:paraId="1217E1BC">
            <w:pPr>
              <w:adjustRightInd w:val="0"/>
              <w:snapToGrid w:val="0"/>
              <w:spacing w:line="276" w:lineRule="auto"/>
              <w:rPr>
                <w:rFonts w:hint="default" w:eastAsia="宋体"/>
                <w:color w:val="auto"/>
                <w:szCs w:val="21"/>
                <w:lang w:val="en-US" w:eastAsia="zh-CN"/>
              </w:rPr>
            </w:pPr>
            <w:r>
              <w:rPr>
                <w:rFonts w:hint="eastAsia" w:ascii="宋体" w:hAnsi="宋体" w:eastAsia="宋体" w:cs="宋体"/>
                <w:lang w:val="en-US" w:eastAsia="zh-CN"/>
              </w:rPr>
              <w:t>1.2018年12月，全国第六届黄炎培杰出教师奖，中华职业教育社，计</w:t>
            </w:r>
            <w:r>
              <w:rPr>
                <w:rFonts w:hint="eastAsia" w:eastAsia="宋体"/>
                <w:color w:val="auto"/>
                <w:szCs w:val="21"/>
                <w:lang w:val="en-US" w:eastAsia="zh-CN"/>
              </w:rPr>
              <w:t>25分；</w:t>
            </w:r>
          </w:p>
          <w:p w14:paraId="7CEB733F">
            <w:pPr>
              <w:keepNext w:val="0"/>
              <w:keepLines w:val="0"/>
              <w:pageBreakBefore w:val="0"/>
              <w:widowControl w:val="0"/>
              <w:numPr>
                <w:ilvl w:val="0"/>
                <w:numId w:val="0"/>
              </w:numPr>
              <w:kinsoku/>
              <w:wordWrap/>
              <w:overflowPunct/>
              <w:topLinePunct w:val="0"/>
              <w:autoSpaceDE/>
              <w:autoSpaceDN/>
              <w:bidi w:val="0"/>
              <w:adjustRightInd/>
              <w:snapToGrid w:val="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2.2018年</w:t>
            </w:r>
            <w:r>
              <w:rPr>
                <w:rFonts w:hint="eastAsia" w:ascii="宋体" w:hAnsi="宋体" w:cs="宋体"/>
                <w:sz w:val="21"/>
                <w:szCs w:val="21"/>
                <w:lang w:val="en-US" w:eastAsia="zh-CN"/>
              </w:rPr>
              <w:t>8</w:t>
            </w:r>
            <w:r>
              <w:rPr>
                <w:rFonts w:hint="eastAsia" w:ascii="宋体" w:hAnsi="宋体" w:eastAsia="宋体" w:cs="宋体"/>
                <w:sz w:val="21"/>
                <w:szCs w:val="21"/>
                <w:lang w:val="en-US" w:eastAsia="zh-CN"/>
              </w:rPr>
              <w:t>月，湖南省第五届黄炎培杰出教师奖，湖南中华职业教育社，计12分；</w:t>
            </w:r>
          </w:p>
          <w:p w14:paraId="7A14E814">
            <w:pPr>
              <w:keepNext w:val="0"/>
              <w:keepLines w:val="0"/>
              <w:pageBreakBefore w:val="0"/>
              <w:widowControl w:val="0"/>
              <w:numPr>
                <w:ilvl w:val="0"/>
                <w:numId w:val="0"/>
              </w:numPr>
              <w:kinsoku/>
              <w:wordWrap/>
              <w:overflowPunct/>
              <w:topLinePunct w:val="0"/>
              <w:autoSpaceDE/>
              <w:autoSpaceDN/>
              <w:bidi w:val="0"/>
              <w:adjustRightInd/>
              <w:snapToGrid w:val="0"/>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3</w:t>
            </w:r>
            <w:r>
              <w:rPr>
                <w:rFonts w:hint="eastAsia" w:ascii="宋体" w:hAnsi="宋体" w:eastAsia="宋体" w:cs="宋体"/>
                <w:sz w:val="21"/>
                <w:szCs w:val="21"/>
                <w:lang w:val="en-US" w:eastAsia="zh-CN"/>
              </w:rPr>
              <w:t>.2019年</w:t>
            </w:r>
            <w:r>
              <w:rPr>
                <w:rFonts w:hint="eastAsia" w:ascii="宋体" w:hAnsi="宋体" w:cs="宋体"/>
                <w:sz w:val="21"/>
                <w:szCs w:val="21"/>
                <w:lang w:val="en-US" w:eastAsia="zh-CN"/>
              </w:rPr>
              <w:t>9</w:t>
            </w:r>
            <w:r>
              <w:rPr>
                <w:rFonts w:hint="eastAsia" w:ascii="宋体" w:hAnsi="宋体" w:eastAsia="宋体" w:cs="宋体"/>
                <w:sz w:val="21"/>
                <w:szCs w:val="21"/>
                <w:lang w:val="en-US" w:eastAsia="zh-CN"/>
              </w:rPr>
              <w:t>月，湖南省参加2019年全国职业院校技能大赛优秀指导教师，湖南省教育厅，计</w:t>
            </w:r>
            <w:r>
              <w:rPr>
                <w:rFonts w:hint="eastAsia" w:ascii="宋体" w:hAnsi="宋体" w:cs="宋体"/>
                <w:sz w:val="21"/>
                <w:szCs w:val="21"/>
                <w:lang w:val="en-US" w:eastAsia="zh-CN"/>
              </w:rPr>
              <w:t>6</w:t>
            </w:r>
            <w:r>
              <w:rPr>
                <w:rFonts w:hint="eastAsia" w:ascii="宋体" w:hAnsi="宋体" w:eastAsia="宋体" w:cs="宋体"/>
                <w:sz w:val="21"/>
                <w:szCs w:val="21"/>
                <w:lang w:val="en-US" w:eastAsia="zh-CN"/>
              </w:rPr>
              <w:t>分；</w:t>
            </w:r>
          </w:p>
          <w:p w14:paraId="35D3D404">
            <w:pPr>
              <w:keepNext w:val="0"/>
              <w:keepLines w:val="0"/>
              <w:pageBreakBefore w:val="0"/>
              <w:widowControl w:val="0"/>
              <w:numPr>
                <w:ilvl w:val="0"/>
                <w:numId w:val="0"/>
              </w:numPr>
              <w:kinsoku/>
              <w:wordWrap/>
              <w:overflowPunct/>
              <w:topLinePunct w:val="0"/>
              <w:autoSpaceDE/>
              <w:autoSpaceDN/>
              <w:bidi w:val="0"/>
              <w:adjustRightInd/>
              <w:snapToGrid w:val="0"/>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4</w:t>
            </w:r>
            <w:r>
              <w:rPr>
                <w:rFonts w:hint="eastAsia" w:ascii="宋体" w:hAnsi="宋体" w:eastAsia="宋体" w:cs="宋体"/>
                <w:sz w:val="21"/>
                <w:szCs w:val="21"/>
                <w:lang w:val="en-US" w:eastAsia="zh-CN"/>
              </w:rPr>
              <w:t>.2020年12月，湖南省致公党全省抗击新冠肺炎疫情先进个人，中国致公党湖南省委，计12分；</w:t>
            </w:r>
          </w:p>
          <w:p w14:paraId="5970D0D0">
            <w:pPr>
              <w:keepNext w:val="0"/>
              <w:keepLines w:val="0"/>
              <w:pageBreakBefore w:val="0"/>
              <w:widowControl w:val="0"/>
              <w:numPr>
                <w:ilvl w:val="0"/>
                <w:numId w:val="0"/>
              </w:numPr>
              <w:kinsoku/>
              <w:wordWrap/>
              <w:overflowPunct/>
              <w:topLinePunct w:val="0"/>
              <w:autoSpaceDE/>
              <w:autoSpaceDN/>
              <w:bidi w:val="0"/>
              <w:adjustRightInd/>
              <w:snapToGrid w:val="0"/>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5.</w:t>
            </w:r>
            <w:r>
              <w:rPr>
                <w:rFonts w:hint="eastAsia" w:ascii="宋体" w:hAnsi="宋体" w:eastAsia="宋体" w:cs="宋体"/>
                <w:sz w:val="21"/>
                <w:szCs w:val="21"/>
                <w:lang w:val="en-US" w:eastAsia="zh-CN"/>
              </w:rPr>
              <w:t>202</w:t>
            </w:r>
            <w:r>
              <w:rPr>
                <w:rFonts w:hint="eastAsia" w:ascii="宋体" w:hAnsi="宋体" w:cs="宋体"/>
                <w:sz w:val="21"/>
                <w:szCs w:val="21"/>
                <w:lang w:val="en-US" w:eastAsia="zh-CN"/>
              </w:rPr>
              <w:t>1</w:t>
            </w:r>
            <w:r>
              <w:rPr>
                <w:rFonts w:hint="eastAsia" w:ascii="宋体" w:hAnsi="宋体" w:eastAsia="宋体" w:cs="宋体"/>
                <w:sz w:val="21"/>
                <w:szCs w:val="21"/>
                <w:lang w:val="en-US" w:eastAsia="zh-CN"/>
              </w:rPr>
              <w:t>年</w:t>
            </w:r>
            <w:r>
              <w:rPr>
                <w:rFonts w:hint="eastAsia" w:ascii="宋体" w:hAnsi="宋体" w:cs="宋体"/>
                <w:sz w:val="21"/>
                <w:szCs w:val="21"/>
                <w:lang w:val="en-US" w:eastAsia="zh-CN"/>
              </w:rPr>
              <w:t>1</w:t>
            </w:r>
            <w:r>
              <w:rPr>
                <w:rFonts w:hint="eastAsia" w:ascii="宋体" w:hAnsi="宋体" w:eastAsia="宋体" w:cs="宋体"/>
                <w:sz w:val="21"/>
                <w:szCs w:val="21"/>
                <w:lang w:val="en-US" w:eastAsia="zh-CN"/>
              </w:rPr>
              <w:t>月，优秀党员，中国致公党湖南省委，计12分；</w:t>
            </w:r>
          </w:p>
          <w:p w14:paraId="0213D15D">
            <w:pPr>
              <w:keepNext w:val="0"/>
              <w:keepLines w:val="0"/>
              <w:pageBreakBefore w:val="0"/>
              <w:widowControl w:val="0"/>
              <w:numPr>
                <w:ilvl w:val="0"/>
                <w:numId w:val="0"/>
              </w:numPr>
              <w:kinsoku/>
              <w:wordWrap/>
              <w:overflowPunct/>
              <w:topLinePunct w:val="0"/>
              <w:autoSpaceDE/>
              <w:autoSpaceDN/>
              <w:bidi w:val="0"/>
              <w:adjustRightInd/>
              <w:snapToGrid w:val="0"/>
              <w:textAlignment w:val="auto"/>
              <w:rPr>
                <w:rFonts w:hint="default" w:eastAsia="宋体"/>
                <w:color w:val="auto"/>
                <w:szCs w:val="21"/>
                <w:lang w:val="en-US" w:eastAsia="zh-CN"/>
              </w:rPr>
            </w:pPr>
            <w:r>
              <w:rPr>
                <w:rFonts w:hint="eastAsia" w:ascii="宋体" w:hAnsi="宋体" w:eastAsia="宋体" w:cs="宋体"/>
                <w:sz w:val="21"/>
                <w:szCs w:val="21"/>
                <w:lang w:val="en-US" w:eastAsia="zh-CN"/>
              </w:rPr>
              <w:t>6.2023年12月，优秀党员，中国致公党湖南省直工委，计6分。</w:t>
            </w:r>
          </w:p>
        </w:tc>
        <w:tc>
          <w:tcPr>
            <w:tcW w:w="1076" w:type="dxa"/>
            <w:vAlign w:val="center"/>
          </w:tcPr>
          <w:p w14:paraId="0068EE75">
            <w:pPr>
              <w:adjustRightInd w:val="0"/>
              <w:snapToGrid w:val="0"/>
              <w:spacing w:line="276" w:lineRule="auto"/>
              <w:jc w:val="center"/>
              <w:rPr>
                <w:rFonts w:hint="default" w:eastAsia="宋体"/>
                <w:szCs w:val="21"/>
                <w:lang w:val="en-US" w:eastAsia="zh-CN"/>
              </w:rPr>
            </w:pPr>
            <w:r>
              <w:rPr>
                <w:rFonts w:hint="eastAsia"/>
                <w:szCs w:val="21"/>
                <w:lang w:val="en-US" w:eastAsia="zh-CN"/>
              </w:rPr>
              <w:t>73</w:t>
            </w:r>
          </w:p>
        </w:tc>
        <w:tc>
          <w:tcPr>
            <w:tcW w:w="1274" w:type="dxa"/>
            <w:vAlign w:val="center"/>
          </w:tcPr>
          <w:p w14:paraId="1D01416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49</w:t>
            </w:r>
          </w:p>
        </w:tc>
        <w:tc>
          <w:tcPr>
            <w:tcW w:w="2331"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adjustRightInd w:val="0"/>
              <w:snapToGrid w:val="0"/>
              <w:spacing w:line="276" w:lineRule="auto"/>
              <w:jc w:val="center"/>
              <w:rPr>
                <w:b/>
                <w:szCs w:val="21"/>
              </w:rPr>
            </w:pPr>
          </w:p>
        </w:tc>
        <w:tc>
          <w:tcPr>
            <w:tcW w:w="1206" w:type="dxa"/>
            <w:vAlign w:val="center"/>
          </w:tcPr>
          <w:p w14:paraId="500FCCA3">
            <w:pPr>
              <w:adjustRightInd w:val="0"/>
              <w:snapToGrid w:val="0"/>
              <w:spacing w:line="276" w:lineRule="auto"/>
              <w:jc w:val="center"/>
              <w:rPr>
                <w:szCs w:val="21"/>
              </w:rPr>
            </w:pPr>
            <w:r>
              <w:rPr>
                <w:rFonts w:hint="eastAsia"/>
                <w:szCs w:val="21"/>
              </w:rPr>
              <w:t>1-2</w:t>
            </w:r>
          </w:p>
        </w:tc>
        <w:tc>
          <w:tcPr>
            <w:tcW w:w="14617" w:type="dxa"/>
            <w:gridSpan w:val="10"/>
            <w:vAlign w:val="center"/>
          </w:tcPr>
          <w:p w14:paraId="27B0D4A7">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师德师风先进事迹宣传报道</w:t>
            </w:r>
          </w:p>
          <w:p w14:paraId="0BF65EE5">
            <w:pPr>
              <w:keepNext w:val="0"/>
              <w:keepLines w:val="0"/>
              <w:pageBreakBefore w:val="0"/>
              <w:widowControl w:val="0"/>
              <w:numPr>
                <w:ilvl w:val="0"/>
                <w:numId w:val="0"/>
              </w:numPr>
              <w:kinsoku/>
              <w:wordWrap/>
              <w:overflowPunct/>
              <w:topLinePunct w:val="0"/>
              <w:autoSpaceDE/>
              <w:autoSpaceDN/>
              <w:bidi w:val="0"/>
              <w:adjustRightInd/>
              <w:snapToGrid w:val="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1.2018年7月4日，深耕职教，敬业乐群，黄炎培职业教育精神的践行者，红网</w:t>
            </w:r>
            <w:r>
              <w:rPr>
                <w:rFonts w:hint="eastAsia"/>
                <w:b w:val="0"/>
                <w:bCs w:val="0"/>
                <w:color w:val="auto"/>
                <w:sz w:val="21"/>
                <w:szCs w:val="21"/>
                <w:lang w:val="en-US" w:eastAsia="zh-CN"/>
              </w:rPr>
              <w:t>·</w:t>
            </w:r>
            <w:r>
              <w:rPr>
                <w:rFonts w:hint="eastAsia" w:ascii="宋体" w:hAnsi="宋体" w:eastAsia="宋体" w:cs="宋体"/>
                <w:sz w:val="21"/>
                <w:szCs w:val="21"/>
                <w:lang w:val="en-US" w:eastAsia="zh-CN"/>
              </w:rPr>
              <w:t>教育频道，计12分；</w:t>
            </w:r>
          </w:p>
          <w:p w14:paraId="53B9C3AD">
            <w:pPr>
              <w:keepNext w:val="0"/>
              <w:keepLines w:val="0"/>
              <w:pageBreakBefore w:val="0"/>
              <w:widowControl w:val="0"/>
              <w:numPr>
                <w:ilvl w:val="0"/>
                <w:numId w:val="0"/>
              </w:numPr>
              <w:kinsoku/>
              <w:wordWrap/>
              <w:overflowPunct/>
              <w:topLinePunct w:val="0"/>
              <w:autoSpaceDE/>
              <w:autoSpaceDN/>
              <w:bidi w:val="0"/>
              <w:adjustRightInd/>
              <w:snapToGrid w:val="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2.2018年12月28日，中华职业教育社关于表彰第六届黄炎培职业教育奖先进集体与个人的决定，中国青年报</w:t>
            </w:r>
            <w:r>
              <w:rPr>
                <w:rFonts w:hint="eastAsia"/>
                <w:b w:val="0"/>
                <w:bCs w:val="0"/>
                <w:color w:val="auto"/>
                <w:sz w:val="21"/>
                <w:szCs w:val="21"/>
                <w:lang w:val="en-US" w:eastAsia="zh-CN"/>
              </w:rPr>
              <w:t>·</w:t>
            </w:r>
            <w:r>
              <w:rPr>
                <w:rFonts w:hint="eastAsia" w:ascii="宋体" w:hAnsi="宋体" w:eastAsia="宋体" w:cs="宋体"/>
                <w:sz w:val="21"/>
                <w:szCs w:val="21"/>
                <w:lang w:val="en-US" w:eastAsia="zh-CN"/>
              </w:rPr>
              <w:t>第11版，计25分；</w:t>
            </w:r>
          </w:p>
          <w:p w14:paraId="5DE6555F">
            <w:pPr>
              <w:keepNext w:val="0"/>
              <w:keepLines w:val="0"/>
              <w:pageBreakBefore w:val="0"/>
              <w:widowControl w:val="0"/>
              <w:numPr>
                <w:ilvl w:val="0"/>
                <w:numId w:val="0"/>
              </w:numPr>
              <w:kinsoku/>
              <w:wordWrap/>
              <w:overflowPunct/>
              <w:topLinePunct w:val="0"/>
              <w:autoSpaceDE/>
              <w:autoSpaceDN/>
              <w:bidi w:val="0"/>
              <w:adjustRightInd/>
              <w:snapToGrid w:val="0"/>
              <w:textAlignment w:val="auto"/>
              <w:rPr>
                <w:rFonts w:hint="eastAsia"/>
                <w:color w:val="auto"/>
                <w:szCs w:val="21"/>
              </w:rPr>
            </w:pPr>
            <w:r>
              <w:rPr>
                <w:rFonts w:hint="eastAsia" w:ascii="宋体" w:hAnsi="宋体" w:eastAsia="宋体" w:cs="宋体"/>
                <w:sz w:val="21"/>
                <w:szCs w:val="21"/>
                <w:lang w:val="en-US" w:eastAsia="zh-CN"/>
              </w:rPr>
              <w:t>3.2024年11月26日，致公党员银奕淇指导学生获得世界职业院校技能大赛银奖，中国致公党湖南省委员会</w:t>
            </w:r>
            <w:r>
              <w:rPr>
                <w:rFonts w:hint="eastAsia"/>
                <w:b w:val="0"/>
                <w:bCs w:val="0"/>
                <w:color w:val="auto"/>
                <w:sz w:val="21"/>
                <w:szCs w:val="21"/>
                <w:lang w:val="en-US" w:eastAsia="zh-CN"/>
              </w:rPr>
              <w:t>·</w:t>
            </w:r>
            <w:r>
              <w:rPr>
                <w:rFonts w:hint="eastAsia" w:ascii="宋体" w:hAnsi="宋体" w:eastAsia="宋体" w:cs="宋体"/>
                <w:sz w:val="21"/>
                <w:szCs w:val="21"/>
                <w:lang w:val="en-US" w:eastAsia="zh-CN"/>
              </w:rPr>
              <w:t>党员风采，计12分</w:t>
            </w:r>
          </w:p>
        </w:tc>
        <w:tc>
          <w:tcPr>
            <w:tcW w:w="1076" w:type="dxa"/>
            <w:vAlign w:val="center"/>
          </w:tcPr>
          <w:p w14:paraId="3E8B912A">
            <w:pPr>
              <w:adjustRightInd w:val="0"/>
              <w:snapToGrid w:val="0"/>
              <w:spacing w:line="276" w:lineRule="auto"/>
              <w:jc w:val="center"/>
              <w:rPr>
                <w:rFonts w:hint="default" w:eastAsia="宋体"/>
                <w:szCs w:val="21"/>
                <w:lang w:val="en-US" w:eastAsia="zh-CN"/>
              </w:rPr>
            </w:pPr>
            <w:r>
              <w:rPr>
                <w:rFonts w:hint="eastAsia"/>
                <w:szCs w:val="21"/>
                <w:lang w:val="en-US" w:eastAsia="zh-CN"/>
              </w:rPr>
              <w:t>49</w:t>
            </w:r>
          </w:p>
        </w:tc>
        <w:tc>
          <w:tcPr>
            <w:tcW w:w="1274" w:type="dxa"/>
            <w:vAlign w:val="center"/>
          </w:tcPr>
          <w:p w14:paraId="793DFA7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adjustRightInd w:val="0"/>
              <w:snapToGrid w:val="0"/>
              <w:spacing w:line="276" w:lineRule="auto"/>
              <w:jc w:val="center"/>
              <w:rPr>
                <w:b/>
                <w:szCs w:val="21"/>
              </w:rPr>
            </w:pPr>
          </w:p>
        </w:tc>
        <w:tc>
          <w:tcPr>
            <w:tcW w:w="1206" w:type="dxa"/>
            <w:vAlign w:val="center"/>
          </w:tcPr>
          <w:p w14:paraId="4250F0D2">
            <w:pPr>
              <w:adjustRightInd w:val="0"/>
              <w:snapToGrid w:val="0"/>
              <w:spacing w:line="276" w:lineRule="auto"/>
              <w:jc w:val="center"/>
              <w:rPr>
                <w:szCs w:val="21"/>
              </w:rPr>
            </w:pPr>
            <w:r>
              <w:rPr>
                <w:rFonts w:hint="eastAsia"/>
                <w:szCs w:val="21"/>
              </w:rPr>
              <w:t>1-3</w:t>
            </w:r>
          </w:p>
        </w:tc>
        <w:tc>
          <w:tcPr>
            <w:tcW w:w="14617" w:type="dxa"/>
            <w:gridSpan w:val="10"/>
            <w:vAlign w:val="center"/>
          </w:tcPr>
          <w:p w14:paraId="7BCF65C2">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开放教育办学体系获奖情况</w:t>
            </w:r>
          </w:p>
          <w:p w14:paraId="4A1B43FC">
            <w:pPr>
              <w:keepNext w:val="0"/>
              <w:keepLines w:val="0"/>
              <w:pageBreakBefore w:val="0"/>
              <w:widowControl w:val="0"/>
              <w:numPr>
                <w:ilvl w:val="0"/>
                <w:numId w:val="0"/>
              </w:numPr>
              <w:kinsoku/>
              <w:wordWrap/>
              <w:overflowPunct/>
              <w:topLinePunct w:val="0"/>
              <w:autoSpaceDE/>
              <w:autoSpaceDN/>
              <w:bidi w:val="0"/>
              <w:adjustRightInd/>
              <w:snapToGrid w:val="0"/>
              <w:textAlignment w:val="auto"/>
              <w:rPr>
                <w:rFonts w:hint="default"/>
                <w:color w:val="auto"/>
                <w:szCs w:val="21"/>
                <w:lang w:val="en-US" w:eastAsia="zh-CN"/>
              </w:rPr>
            </w:pPr>
            <w:r>
              <w:rPr>
                <w:rFonts w:hint="eastAsia" w:ascii="宋体" w:hAnsi="宋体" w:eastAsia="宋体" w:cs="宋体"/>
                <w:sz w:val="21"/>
                <w:szCs w:val="21"/>
                <w:lang w:val="en-US" w:eastAsia="zh-CN"/>
              </w:rPr>
              <w:t>1.2022年12月，湖南省社区教育优秀教师，湖南开放大学，计1分；</w:t>
            </w:r>
          </w:p>
        </w:tc>
        <w:tc>
          <w:tcPr>
            <w:tcW w:w="1076" w:type="dxa"/>
            <w:vAlign w:val="center"/>
          </w:tcPr>
          <w:p w14:paraId="650AE249">
            <w:pPr>
              <w:adjustRightInd w:val="0"/>
              <w:snapToGrid w:val="0"/>
              <w:spacing w:line="276" w:lineRule="auto"/>
              <w:jc w:val="center"/>
              <w:rPr>
                <w:rFonts w:hint="default" w:eastAsia="宋体"/>
                <w:szCs w:val="21"/>
                <w:lang w:val="en-US" w:eastAsia="zh-CN"/>
              </w:rPr>
            </w:pPr>
            <w:r>
              <w:rPr>
                <w:rFonts w:hint="eastAsia"/>
                <w:szCs w:val="21"/>
                <w:lang w:val="en-US" w:eastAsia="zh-CN"/>
              </w:rPr>
              <w:t>1</w:t>
            </w:r>
          </w:p>
        </w:tc>
        <w:tc>
          <w:tcPr>
            <w:tcW w:w="1274" w:type="dxa"/>
            <w:vAlign w:val="center"/>
          </w:tcPr>
          <w:p w14:paraId="50B7C8B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1</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0CE807CA">
            <w:pPr>
              <w:adjustRightInd w:val="0"/>
              <w:snapToGrid w:val="0"/>
              <w:spacing w:line="276" w:lineRule="auto"/>
              <w:jc w:val="center"/>
              <w:rPr>
                <w:b/>
                <w:szCs w:val="21"/>
              </w:rPr>
            </w:pPr>
          </w:p>
        </w:tc>
        <w:tc>
          <w:tcPr>
            <w:tcW w:w="1206" w:type="dxa"/>
            <w:vAlign w:val="center"/>
          </w:tcPr>
          <w:p w14:paraId="3F819AE4">
            <w:pPr>
              <w:adjustRightInd w:val="0"/>
              <w:snapToGrid w:val="0"/>
              <w:spacing w:line="276" w:lineRule="auto"/>
              <w:jc w:val="center"/>
              <w:rPr>
                <w:rFonts w:hint="eastAsia"/>
                <w:szCs w:val="21"/>
              </w:rPr>
            </w:pPr>
            <w:r>
              <w:rPr>
                <w:rFonts w:hint="eastAsia"/>
                <w:szCs w:val="21"/>
              </w:rPr>
              <w:t>1-4</w:t>
            </w:r>
          </w:p>
          <w:p w14:paraId="7084A0CB">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4617" w:type="dxa"/>
            <w:gridSpan w:val="10"/>
            <w:vAlign w:val="center"/>
          </w:tcPr>
          <w:p w14:paraId="6221E850">
            <w:pPr>
              <w:adjustRightInd w:val="0"/>
              <w:snapToGrid w:val="0"/>
              <w:spacing w:line="276" w:lineRule="auto"/>
              <w:rPr>
                <w:rFonts w:hint="default"/>
                <w:color w:val="000000" w:themeColor="text1"/>
                <w:szCs w:val="21"/>
                <w:lang w:val="en-US"/>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乡村振兴、驻村帮扶期间工作人员年度考核优秀</w:t>
            </w:r>
            <w:r>
              <w:rPr>
                <w:rFonts w:hint="eastAsia"/>
                <w:color w:val="4F81BD" w:themeColor="accent1"/>
                <w:szCs w:val="21"/>
                <w:lang w:val="en-US" w:eastAsia="zh-CN"/>
                <w14:textFill>
                  <w14:solidFill>
                    <w14:schemeClr w14:val="accent1"/>
                  </w14:solidFill>
                </w14:textFill>
              </w:rPr>
              <w:t>：</w:t>
            </w:r>
            <w:r>
              <w:rPr>
                <w:rFonts w:hint="eastAsia"/>
                <w:b w:val="0"/>
                <w:bCs w:val="0"/>
                <w:color w:val="auto"/>
                <w:vertAlign w:val="baseline"/>
                <w:lang w:val="en-US" w:eastAsia="zh-CN"/>
              </w:rPr>
              <w:t>无</w:t>
            </w:r>
          </w:p>
        </w:tc>
        <w:tc>
          <w:tcPr>
            <w:tcW w:w="1076" w:type="dxa"/>
            <w:vAlign w:val="center"/>
          </w:tcPr>
          <w:p w14:paraId="6A3870F4">
            <w:pPr>
              <w:adjustRightInd w:val="0"/>
              <w:snapToGrid w:val="0"/>
              <w:spacing w:line="276" w:lineRule="auto"/>
              <w:jc w:val="center"/>
              <w:rPr>
                <w:rFonts w:hint="default" w:eastAsia="宋体"/>
                <w:szCs w:val="21"/>
                <w:lang w:val="en-US" w:eastAsia="zh-CN"/>
              </w:rPr>
            </w:pPr>
            <w:r>
              <w:rPr>
                <w:rFonts w:hint="eastAsia"/>
                <w:szCs w:val="21"/>
                <w:lang w:val="en-US" w:eastAsia="zh-CN"/>
              </w:rPr>
              <w:t>0</w:t>
            </w: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2C5C143E">
            <w:pPr>
              <w:adjustRightInd w:val="0"/>
              <w:snapToGrid w:val="0"/>
              <w:spacing w:line="276" w:lineRule="auto"/>
              <w:jc w:val="center"/>
              <w:rPr>
                <w:b/>
                <w:szCs w:val="21"/>
              </w:rPr>
            </w:pPr>
          </w:p>
        </w:tc>
        <w:tc>
          <w:tcPr>
            <w:tcW w:w="1206" w:type="dxa"/>
            <w:vAlign w:val="center"/>
          </w:tcPr>
          <w:p w14:paraId="4ACB53E2">
            <w:pPr>
              <w:adjustRightInd w:val="0"/>
              <w:snapToGrid w:val="0"/>
              <w:spacing w:line="276" w:lineRule="auto"/>
              <w:jc w:val="center"/>
              <w:rPr>
                <w:rFonts w:hint="eastAsia"/>
                <w:szCs w:val="21"/>
              </w:rPr>
            </w:pPr>
            <w:r>
              <w:rPr>
                <w:rFonts w:hint="eastAsia"/>
                <w:szCs w:val="21"/>
              </w:rPr>
              <w:t>1-5</w:t>
            </w:r>
          </w:p>
          <w:p w14:paraId="2A3FE5DD">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617" w:type="dxa"/>
            <w:gridSpan w:val="10"/>
            <w:vAlign w:val="center"/>
          </w:tcPr>
          <w:p w14:paraId="46483418">
            <w:pPr>
              <w:adjustRightInd w:val="0"/>
              <w:snapToGrid w:val="0"/>
              <w:spacing w:line="276" w:lineRule="auto"/>
              <w:rPr>
                <w:rFonts w:hint="default"/>
                <w:color w:val="000000" w:themeColor="text1"/>
                <w:szCs w:val="21"/>
                <w:lang w:val="en-US"/>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担任兼职班主任或辅导员或学生社团指导教师，并在其专项年度考核中评为优秀</w:t>
            </w:r>
            <w:r>
              <w:rPr>
                <w:rFonts w:hint="eastAsia"/>
                <w:color w:val="4F81BD" w:themeColor="accent1"/>
                <w:szCs w:val="21"/>
                <w:lang w:val="en-US" w:eastAsia="zh-CN"/>
                <w14:textFill>
                  <w14:solidFill>
                    <w14:schemeClr w14:val="accent1"/>
                  </w14:solidFill>
                </w14:textFill>
              </w:rPr>
              <w:t>：</w:t>
            </w:r>
            <w:r>
              <w:rPr>
                <w:rFonts w:hint="eastAsia"/>
                <w:b w:val="0"/>
                <w:bCs w:val="0"/>
                <w:color w:val="auto"/>
                <w:vertAlign w:val="baseline"/>
                <w:lang w:val="en-US" w:eastAsia="zh-CN"/>
              </w:rPr>
              <w:t>无</w:t>
            </w:r>
          </w:p>
        </w:tc>
        <w:tc>
          <w:tcPr>
            <w:tcW w:w="1076" w:type="dxa"/>
            <w:vAlign w:val="center"/>
          </w:tcPr>
          <w:p w14:paraId="43FCF60C">
            <w:pPr>
              <w:adjustRightInd w:val="0"/>
              <w:snapToGrid w:val="0"/>
              <w:spacing w:line="276" w:lineRule="auto"/>
              <w:jc w:val="center"/>
              <w:rPr>
                <w:rFonts w:hint="default" w:eastAsia="宋体"/>
                <w:szCs w:val="21"/>
                <w:lang w:val="en-US" w:eastAsia="zh-CN"/>
              </w:rPr>
            </w:pPr>
            <w:r>
              <w:rPr>
                <w:rFonts w:hint="eastAsia"/>
                <w:szCs w:val="21"/>
                <w:lang w:val="en-US" w:eastAsia="zh-CN"/>
              </w:rPr>
              <w:t>0</w:t>
            </w: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35A20DD">
            <w:pPr>
              <w:adjustRightInd w:val="0"/>
              <w:snapToGrid w:val="0"/>
              <w:spacing w:line="276" w:lineRule="auto"/>
              <w:jc w:val="center"/>
              <w:rPr>
                <w:rFonts w:hint="default" w:eastAsia="宋体"/>
                <w:color w:val="A6A6A6" w:themeColor="background1" w:themeShade="A6"/>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rPr>
            </w:pPr>
          </w:p>
        </w:tc>
        <w:tc>
          <w:tcPr>
            <w:tcW w:w="1206" w:type="dxa"/>
            <w:vAlign w:val="center"/>
          </w:tcPr>
          <w:p w14:paraId="5D939316">
            <w:pPr>
              <w:adjustRightInd w:val="0"/>
              <w:snapToGrid w:val="0"/>
              <w:spacing w:line="276" w:lineRule="auto"/>
              <w:jc w:val="center"/>
              <w:rPr>
                <w:rFonts w:hint="eastAsia"/>
                <w:szCs w:val="21"/>
                <w:lang w:val="en-US" w:eastAsia="zh-CN"/>
              </w:rPr>
            </w:pPr>
            <w:r>
              <w:rPr>
                <w:rFonts w:hint="eastAsia"/>
                <w:szCs w:val="21"/>
                <w:lang w:val="en-US" w:eastAsia="zh-CN"/>
              </w:rPr>
              <w:t>1-6</w:t>
            </w:r>
          </w:p>
          <w:p w14:paraId="2A723F1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617" w:type="dxa"/>
            <w:gridSpan w:val="10"/>
            <w:vAlign w:val="center"/>
          </w:tcPr>
          <w:p w14:paraId="64815131">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任现职以来，年度考核优秀情况</w:t>
            </w:r>
          </w:p>
          <w:p w14:paraId="5771B80E">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1.2015年年度考核优秀，计1分；</w:t>
            </w:r>
          </w:p>
          <w:p w14:paraId="1C86B321">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2.2016年年度考核优秀，计1分；</w:t>
            </w:r>
          </w:p>
        </w:tc>
        <w:tc>
          <w:tcPr>
            <w:tcW w:w="1076" w:type="dxa"/>
            <w:vAlign w:val="center"/>
          </w:tcPr>
          <w:p w14:paraId="6BE6B37D">
            <w:pPr>
              <w:adjustRightInd w:val="0"/>
              <w:snapToGrid w:val="0"/>
              <w:spacing w:line="276" w:lineRule="auto"/>
              <w:jc w:val="center"/>
              <w:rPr>
                <w:rFonts w:hint="default" w:eastAsia="宋体"/>
                <w:szCs w:val="21"/>
                <w:lang w:val="en-US" w:eastAsia="zh-CN"/>
              </w:rPr>
            </w:pPr>
            <w:r>
              <w:rPr>
                <w:rFonts w:hint="eastAsia"/>
                <w:szCs w:val="21"/>
                <w:lang w:val="en-US" w:eastAsia="zh-CN"/>
              </w:rPr>
              <w:t>2</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2331" w:type="dxa"/>
            <w:vAlign w:val="center"/>
          </w:tcPr>
          <w:p w14:paraId="5A5FA147">
            <w:pPr>
              <w:adjustRightInd w:val="0"/>
              <w:snapToGrid w:val="0"/>
              <w:spacing w:line="276" w:lineRule="auto"/>
              <w:jc w:val="center"/>
              <w:rPr>
                <w:rFonts w:hint="eastAsia" w:eastAsia="宋体"/>
                <w:color w:val="A6A6A6" w:themeColor="background1" w:themeShade="A6"/>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206" w:type="dxa"/>
            <w:vAlign w:val="center"/>
          </w:tcPr>
          <w:p w14:paraId="5FD7A916">
            <w:pPr>
              <w:adjustRightInd w:val="0"/>
              <w:snapToGrid w:val="0"/>
              <w:spacing w:line="276" w:lineRule="auto"/>
              <w:jc w:val="center"/>
              <w:rPr>
                <w:szCs w:val="21"/>
              </w:rPr>
            </w:pPr>
            <w:r>
              <w:rPr>
                <w:rFonts w:hint="eastAsia"/>
                <w:szCs w:val="21"/>
              </w:rPr>
              <w:t>2-1</w:t>
            </w:r>
          </w:p>
        </w:tc>
        <w:tc>
          <w:tcPr>
            <w:tcW w:w="14617" w:type="dxa"/>
            <w:gridSpan w:val="10"/>
            <w:vAlign w:val="center"/>
          </w:tcPr>
          <w:p w14:paraId="53168338">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学历学位情况</w:t>
            </w:r>
          </w:p>
          <w:p w14:paraId="1CEDBFDB">
            <w:pPr>
              <w:adjustRightInd w:val="0"/>
              <w:snapToGrid w:val="0"/>
              <w:spacing w:line="276" w:lineRule="auto"/>
              <w:rPr>
                <w:rFonts w:hint="default"/>
                <w:b w:val="0"/>
                <w:bCs w:val="0"/>
                <w:color w:val="FF0000"/>
                <w:vertAlign w:val="baseline"/>
                <w:lang w:val="en-US" w:eastAsia="zh-CN"/>
              </w:rPr>
            </w:pPr>
            <w:r>
              <w:rPr>
                <w:rFonts w:hint="eastAsia"/>
                <w:b w:val="0"/>
                <w:bCs w:val="0"/>
                <w:color w:val="auto"/>
                <w:vertAlign w:val="baseline"/>
                <w:lang w:val="en-US" w:eastAsia="zh-CN"/>
              </w:rPr>
              <w:t>1.</w:t>
            </w:r>
            <w:r>
              <w:rPr>
                <w:rFonts w:hint="eastAsia" w:eastAsia="宋体"/>
                <w:b w:val="0"/>
                <w:bCs w:val="0"/>
                <w:color w:val="auto"/>
                <w:vertAlign w:val="baseline"/>
                <w:lang w:val="en-US" w:eastAsia="zh-CN"/>
              </w:rPr>
              <w:t>20</w:t>
            </w:r>
            <w:r>
              <w:rPr>
                <w:rFonts w:hint="eastAsia"/>
                <w:b w:val="0"/>
                <w:bCs w:val="0"/>
                <w:color w:val="auto"/>
                <w:vertAlign w:val="baseline"/>
                <w:lang w:val="en-US" w:eastAsia="zh-CN"/>
              </w:rPr>
              <w:t>14</w:t>
            </w:r>
            <w:r>
              <w:rPr>
                <w:rFonts w:hint="eastAsia" w:eastAsia="宋体"/>
                <w:b w:val="0"/>
                <w:bCs w:val="0"/>
                <w:color w:val="auto"/>
                <w:vertAlign w:val="baseline"/>
                <w:lang w:val="en-US" w:eastAsia="zh-CN"/>
              </w:rPr>
              <w:t>年获得</w:t>
            </w:r>
            <w:r>
              <w:rPr>
                <w:rFonts w:hint="eastAsia"/>
                <w:b w:val="0"/>
                <w:bCs w:val="0"/>
                <w:color w:val="auto"/>
                <w:vertAlign w:val="baseline"/>
                <w:lang w:val="en-US" w:eastAsia="zh-CN"/>
              </w:rPr>
              <w:t>南华</w:t>
            </w:r>
            <w:r>
              <w:rPr>
                <w:rFonts w:hint="eastAsia" w:eastAsia="宋体"/>
                <w:b w:val="0"/>
                <w:bCs w:val="0"/>
                <w:color w:val="auto"/>
                <w:vertAlign w:val="baseline"/>
                <w:lang w:val="en-US" w:eastAsia="zh-CN"/>
              </w:rPr>
              <w:t>大学</w:t>
            </w:r>
            <w:r>
              <w:rPr>
                <w:rFonts w:hint="eastAsia"/>
                <w:b w:val="0"/>
                <w:bCs w:val="0"/>
                <w:color w:val="auto"/>
                <w:vertAlign w:val="baseline"/>
                <w:lang w:val="en-US" w:eastAsia="zh-CN"/>
              </w:rPr>
              <w:t>硕</w:t>
            </w:r>
            <w:r>
              <w:rPr>
                <w:rFonts w:hint="eastAsia" w:eastAsia="宋体"/>
                <w:b w:val="0"/>
                <w:bCs w:val="0"/>
                <w:color w:val="auto"/>
                <w:vertAlign w:val="baseline"/>
                <w:lang w:val="en-US" w:eastAsia="zh-CN"/>
              </w:rPr>
              <w:t>士学历学位，计</w:t>
            </w:r>
            <w:r>
              <w:rPr>
                <w:rFonts w:hint="eastAsia"/>
                <w:b w:val="0"/>
                <w:bCs w:val="0"/>
                <w:color w:val="auto"/>
                <w:vertAlign w:val="baseline"/>
                <w:lang w:val="en-US" w:eastAsia="zh-CN"/>
              </w:rPr>
              <w:t>4</w:t>
            </w:r>
            <w:r>
              <w:rPr>
                <w:rFonts w:hint="eastAsia" w:eastAsia="宋体"/>
                <w:b w:val="0"/>
                <w:bCs w:val="0"/>
                <w:color w:val="auto"/>
                <w:vertAlign w:val="baseline"/>
                <w:lang w:val="en-US" w:eastAsia="zh-CN"/>
              </w:rPr>
              <w:t>分</w:t>
            </w:r>
          </w:p>
        </w:tc>
        <w:tc>
          <w:tcPr>
            <w:tcW w:w="1076" w:type="dxa"/>
            <w:vAlign w:val="center"/>
          </w:tcPr>
          <w:p w14:paraId="0A370D9B">
            <w:pPr>
              <w:adjustRightInd w:val="0"/>
              <w:snapToGrid w:val="0"/>
              <w:spacing w:line="276" w:lineRule="auto"/>
              <w:jc w:val="center"/>
              <w:rPr>
                <w:rFonts w:hint="default" w:eastAsia="宋体"/>
                <w:szCs w:val="21"/>
                <w:lang w:val="en-US" w:eastAsia="zh-CN"/>
              </w:rPr>
            </w:pPr>
            <w:r>
              <w:rPr>
                <w:rFonts w:hint="eastAsia"/>
                <w:szCs w:val="21"/>
                <w:lang w:val="en-US" w:eastAsia="zh-CN"/>
              </w:rPr>
              <w:t>4</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szCs w:val="21"/>
              </w:rPr>
            </w:pPr>
          </w:p>
        </w:tc>
        <w:tc>
          <w:tcPr>
            <w:tcW w:w="1206" w:type="dxa"/>
            <w:vAlign w:val="center"/>
          </w:tcPr>
          <w:p w14:paraId="6658406D">
            <w:pPr>
              <w:adjustRightInd w:val="0"/>
              <w:snapToGrid w:val="0"/>
              <w:spacing w:line="276" w:lineRule="auto"/>
              <w:jc w:val="center"/>
              <w:rPr>
                <w:rFonts w:hint="eastAsia"/>
                <w:szCs w:val="21"/>
              </w:rPr>
            </w:pPr>
            <w:r>
              <w:rPr>
                <w:rFonts w:hint="eastAsia"/>
                <w:szCs w:val="21"/>
              </w:rPr>
              <w:t>2-2</w:t>
            </w:r>
          </w:p>
        </w:tc>
        <w:tc>
          <w:tcPr>
            <w:tcW w:w="14617" w:type="dxa"/>
            <w:gridSpan w:val="10"/>
            <w:vAlign w:val="center"/>
          </w:tcPr>
          <w:p w14:paraId="207AD532">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外语和计算机水平</w:t>
            </w:r>
          </w:p>
          <w:p w14:paraId="7F069DDB">
            <w:pPr>
              <w:adjustRightInd w:val="0"/>
              <w:snapToGrid w:val="0"/>
              <w:spacing w:line="276" w:lineRule="auto"/>
              <w:rPr>
                <w:rFonts w:hint="eastAsia"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1.全国职称外语水平考试证书，符合外语考试目录的第1条，计3分</w:t>
            </w:r>
          </w:p>
          <w:p w14:paraId="1A62189A">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ascii="Times New Roman" w:hAnsi="Times New Roman" w:eastAsia="宋体" w:cs="Times New Roman"/>
                <w:b w:val="0"/>
                <w:bCs w:val="0"/>
                <w:color w:val="auto"/>
                <w:vertAlign w:val="baseline"/>
                <w:lang w:val="en-US" w:eastAsia="zh-CN"/>
              </w:rPr>
              <w:t>2.</w:t>
            </w:r>
            <w:r>
              <w:rPr>
                <w:rFonts w:hint="eastAsia"/>
                <w:b w:val="0"/>
                <w:bCs w:val="0"/>
                <w:vertAlign w:val="baseline"/>
                <w:lang w:val="en-US" w:eastAsia="zh-CN"/>
              </w:rPr>
              <w:t>全国计算机技术与软件专业技术资格（水平）证书软件设计师</w:t>
            </w:r>
            <w:r>
              <w:rPr>
                <w:rFonts w:hint="eastAsia" w:ascii="Times New Roman" w:hAnsi="Times New Roman" w:eastAsia="宋体" w:cs="Times New Roman"/>
                <w:b w:val="0"/>
                <w:bCs w:val="0"/>
                <w:color w:val="auto"/>
                <w:vertAlign w:val="baseline"/>
                <w:lang w:val="en-US" w:eastAsia="zh-CN"/>
              </w:rPr>
              <w:t>，符合计算机考试目录第2条，计3分</w:t>
            </w:r>
          </w:p>
        </w:tc>
        <w:tc>
          <w:tcPr>
            <w:tcW w:w="1076" w:type="dxa"/>
            <w:vAlign w:val="center"/>
          </w:tcPr>
          <w:p w14:paraId="5983BF1A">
            <w:pPr>
              <w:adjustRightInd w:val="0"/>
              <w:snapToGrid w:val="0"/>
              <w:spacing w:line="276" w:lineRule="auto"/>
              <w:jc w:val="center"/>
              <w:rPr>
                <w:rFonts w:hint="default" w:eastAsia="宋体"/>
                <w:szCs w:val="21"/>
                <w:lang w:val="en-US" w:eastAsia="zh-CN"/>
              </w:rPr>
            </w:pPr>
            <w:r>
              <w:rPr>
                <w:rFonts w:hint="eastAsia"/>
                <w:szCs w:val="21"/>
                <w:lang w:val="en-US" w:eastAsia="zh-CN"/>
              </w:rPr>
              <w:t>6</w:t>
            </w: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497CCA4F">
            <w:pPr>
              <w:adjustRightInd w:val="0"/>
              <w:snapToGrid w:val="0"/>
              <w:spacing w:line="276" w:lineRule="auto"/>
              <w:jc w:val="center"/>
              <w:rPr>
                <w:rFonts w:hint="eastAsia"/>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5943FAAD">
            <w:pPr>
              <w:adjustRightInd w:val="0"/>
              <w:snapToGrid w:val="0"/>
              <w:spacing w:line="276" w:lineRule="auto"/>
              <w:jc w:val="center"/>
              <w:rPr>
                <w:b/>
                <w:szCs w:val="21"/>
              </w:rPr>
            </w:pPr>
          </w:p>
        </w:tc>
        <w:tc>
          <w:tcPr>
            <w:tcW w:w="1206" w:type="dxa"/>
            <w:vAlign w:val="center"/>
          </w:tcPr>
          <w:p w14:paraId="02AC0D9E">
            <w:pPr>
              <w:adjustRightInd w:val="0"/>
              <w:snapToGrid w:val="0"/>
              <w:spacing w:line="276" w:lineRule="auto"/>
              <w:jc w:val="center"/>
              <w:rPr>
                <w:szCs w:val="21"/>
              </w:rPr>
            </w:pPr>
            <w:r>
              <w:rPr>
                <w:rFonts w:hint="eastAsia"/>
                <w:szCs w:val="21"/>
              </w:rPr>
              <w:t>2-3</w:t>
            </w:r>
          </w:p>
        </w:tc>
        <w:tc>
          <w:tcPr>
            <w:tcW w:w="14617" w:type="dxa"/>
            <w:gridSpan w:val="10"/>
            <w:vAlign w:val="center"/>
          </w:tcPr>
          <w:p w14:paraId="2E65FDB4">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继续教育合格证明</w:t>
            </w:r>
          </w:p>
          <w:p w14:paraId="70BD7A2E">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1.2020</w:t>
            </w:r>
            <w:r>
              <w:rPr>
                <w:rFonts w:hint="eastAsia" w:eastAsia="宋体"/>
                <w:b w:val="0"/>
                <w:bCs w:val="0"/>
                <w:color w:val="auto"/>
                <w:vertAlign w:val="baseline"/>
                <w:lang w:val="en-US" w:eastAsia="zh-CN"/>
              </w:rPr>
              <w:t>年度至</w:t>
            </w:r>
            <w:r>
              <w:rPr>
                <w:rFonts w:hint="eastAsia"/>
                <w:b w:val="0"/>
                <w:bCs w:val="0"/>
                <w:color w:val="auto"/>
                <w:vertAlign w:val="baseline"/>
                <w:lang w:val="en-US" w:eastAsia="zh-CN"/>
              </w:rPr>
              <w:t>2024</w:t>
            </w:r>
            <w:r>
              <w:rPr>
                <w:rFonts w:hint="eastAsia" w:eastAsia="宋体"/>
                <w:b w:val="0"/>
                <w:bCs w:val="0"/>
                <w:color w:val="auto"/>
                <w:vertAlign w:val="baseline"/>
                <w:lang w:val="en-US" w:eastAsia="zh-CN"/>
              </w:rPr>
              <w:t>年度继续教育经人社部门验证合格，计5分</w:t>
            </w:r>
          </w:p>
        </w:tc>
        <w:tc>
          <w:tcPr>
            <w:tcW w:w="1076" w:type="dxa"/>
            <w:vAlign w:val="center"/>
          </w:tcPr>
          <w:p w14:paraId="7F053BD7">
            <w:pPr>
              <w:adjustRightInd w:val="0"/>
              <w:snapToGrid w:val="0"/>
              <w:spacing w:line="276" w:lineRule="auto"/>
              <w:jc w:val="center"/>
              <w:rPr>
                <w:rFonts w:hint="default" w:eastAsia="宋体"/>
                <w:szCs w:val="21"/>
                <w:lang w:val="en-US" w:eastAsia="zh-CN"/>
              </w:rPr>
            </w:pPr>
            <w:r>
              <w:rPr>
                <w:rFonts w:hint="eastAsia"/>
                <w:szCs w:val="21"/>
                <w:lang w:val="en-US" w:eastAsia="zh-CN"/>
              </w:rPr>
              <w:t>5</w:t>
            </w: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206" w:type="dxa"/>
            <w:vAlign w:val="center"/>
          </w:tcPr>
          <w:p w14:paraId="715E06E1">
            <w:pPr>
              <w:adjustRightInd w:val="0"/>
              <w:snapToGrid w:val="0"/>
              <w:spacing w:line="276" w:lineRule="auto"/>
              <w:jc w:val="center"/>
              <w:rPr>
                <w:szCs w:val="21"/>
              </w:rPr>
            </w:pPr>
            <w:r>
              <w:rPr>
                <w:rFonts w:hint="eastAsia"/>
                <w:szCs w:val="21"/>
              </w:rPr>
              <w:t>2-4</w:t>
            </w:r>
          </w:p>
        </w:tc>
        <w:tc>
          <w:tcPr>
            <w:tcW w:w="14617" w:type="dxa"/>
            <w:gridSpan w:val="10"/>
            <w:vAlign w:val="center"/>
          </w:tcPr>
          <w:p w14:paraId="01AA30D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双师双能教师情况</w:t>
            </w:r>
          </w:p>
          <w:p w14:paraId="3CD646E1">
            <w:pPr>
              <w:adjustRightInd w:val="0"/>
              <w:snapToGrid w:val="0"/>
              <w:spacing w:line="276" w:lineRule="auto"/>
              <w:rPr>
                <w:rFonts w:hint="default" w:eastAsia="宋体"/>
                <w:b w:val="0"/>
                <w:bCs w:val="0"/>
                <w:color w:val="auto"/>
                <w:vertAlign w:val="baseline"/>
                <w:lang w:val="en-US" w:eastAsia="zh-CN"/>
              </w:rPr>
            </w:pPr>
            <w:r>
              <w:rPr>
                <w:rFonts w:hint="eastAsia"/>
                <w:b w:val="0"/>
                <w:bCs w:val="0"/>
                <w:color w:val="auto"/>
                <w:vertAlign w:val="baseline"/>
                <w:lang w:val="en-US" w:eastAsia="zh-CN"/>
              </w:rPr>
              <w:t>1.2025年7月，经学校评议认定为双师型教师认定为高级，2025，计8分。</w:t>
            </w:r>
          </w:p>
        </w:tc>
        <w:tc>
          <w:tcPr>
            <w:tcW w:w="1076" w:type="dxa"/>
            <w:vAlign w:val="center"/>
          </w:tcPr>
          <w:p w14:paraId="3314DA1D">
            <w:pPr>
              <w:adjustRightInd w:val="0"/>
              <w:snapToGrid w:val="0"/>
              <w:spacing w:line="276" w:lineRule="auto"/>
              <w:jc w:val="center"/>
              <w:rPr>
                <w:rFonts w:hint="default" w:eastAsia="宋体"/>
                <w:szCs w:val="21"/>
                <w:lang w:val="en-US" w:eastAsia="zh-CN"/>
              </w:rPr>
            </w:pPr>
            <w:r>
              <w:rPr>
                <w:rFonts w:hint="eastAsia"/>
                <w:szCs w:val="21"/>
                <w:lang w:val="en-US" w:eastAsia="zh-CN"/>
              </w:rPr>
              <w:t>8</w:t>
            </w:r>
          </w:p>
        </w:tc>
        <w:tc>
          <w:tcPr>
            <w:tcW w:w="1274" w:type="dxa"/>
            <w:vAlign w:val="center"/>
          </w:tcPr>
          <w:p w14:paraId="66569947">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206" w:type="dxa"/>
            <w:vAlign w:val="center"/>
          </w:tcPr>
          <w:p w14:paraId="5F662759">
            <w:pPr>
              <w:adjustRightInd w:val="0"/>
              <w:snapToGrid w:val="0"/>
              <w:spacing w:line="276" w:lineRule="auto"/>
              <w:jc w:val="center"/>
              <w:rPr>
                <w:rFonts w:hint="eastAsia"/>
                <w:szCs w:val="21"/>
              </w:rPr>
            </w:pPr>
            <w:r>
              <w:rPr>
                <w:rFonts w:hint="eastAsia"/>
                <w:szCs w:val="21"/>
              </w:rPr>
              <w:t>3-1</w:t>
            </w:r>
          </w:p>
          <w:p w14:paraId="1A8CEE9B">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617" w:type="dxa"/>
            <w:gridSpan w:val="10"/>
            <w:vAlign w:val="center"/>
          </w:tcPr>
          <w:p w14:paraId="4BC89DFA">
            <w:pPr>
              <w:adjustRightInd w:val="0"/>
              <w:snapToGrid w:val="0"/>
              <w:spacing w:line="276" w:lineRule="auto"/>
              <w:rPr>
                <w:rFonts w:hint="eastAsia"/>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本次课时统计时间从2020年开始，省校教师课时统计范围及标准请按湘开大校通〔2024〕129号中相关规定执行。分校教师根据本校有关教学时量规定执行，如有任职年限不足5年（博士任副教授2年）或公派学习等情况，请说明。申报实验系列人员要列出实践课时数。</w:t>
            </w:r>
          </w:p>
          <w:p w14:paraId="4B02A184">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2020年3月至2021年1月，课时201学时（课堂教学时量156学时，实践教学时量45学时，其中2020年9月至2021年1月在湖南师范大学访学）；</w:t>
            </w:r>
          </w:p>
          <w:p w14:paraId="644A23CE">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2021年3月至2022年1月，课时60学时（课堂教学时量60学时，其中2020年3月至2021年6月在湖南师范大学访学，2021年9月至2022年1月在在陕西师范大学读博）；</w:t>
            </w:r>
          </w:p>
          <w:p w14:paraId="24FBBD9D">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2022年3月至2023年1月，课时64学时（课堂教学时量64学时，其中2022年3月至2023年6月在在陕西师范大学读博，2022年12月至2023年2月在抽调在湖南省教育厅高等学历继续教育专项整治专班工作）</w:t>
            </w:r>
          </w:p>
          <w:p w14:paraId="55A57752">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2023年3月至2024年1月，课时250学时（课堂教学时量136学时，实践教学时量114学时，其中2022年12月至2023年8月抽调在湖南省高等学历继续教育专项整治专班工作）；</w:t>
            </w:r>
          </w:p>
          <w:p w14:paraId="327F5DC7">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2024年3月至2025年1月，课时334学时（课堂教学时量232学时，实践教学时量102学时）；</w:t>
            </w:r>
          </w:p>
          <w:p w14:paraId="4BD7E322">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2025年3月至2025年7月，课时188学时（课堂教学时量128学时，实践教学时量60学时）；</w:t>
            </w:r>
          </w:p>
          <w:p w14:paraId="641BA534">
            <w:pPr>
              <w:adjustRightInd w:val="0"/>
              <w:snapToGrid w:val="0"/>
              <w:spacing w:line="276" w:lineRule="auto"/>
              <w:rPr>
                <w:rFonts w:hint="default" w:ascii="Times New Roman" w:hAnsi="Times New Roman" w:cs="Times New Roman"/>
                <w:b w:val="0"/>
                <w:bCs w:val="0"/>
                <w:color w:val="FF0000"/>
                <w:vertAlign w:val="baseline"/>
                <w:lang w:val="en-US" w:eastAsia="zh-CN"/>
              </w:rPr>
            </w:pPr>
            <w:r>
              <w:rPr>
                <w:rFonts w:hint="eastAsia"/>
                <w:b w:val="0"/>
                <w:bCs w:val="0"/>
                <w:color w:val="auto"/>
                <w:vertAlign w:val="baseline"/>
                <w:lang w:val="en-US" w:eastAsia="zh-CN"/>
              </w:rPr>
              <w:t>合计，5年总课时：1097学时（课堂教学时量776学时，实践教学时量321学时）。</w:t>
            </w:r>
          </w:p>
        </w:tc>
        <w:tc>
          <w:tcPr>
            <w:tcW w:w="1076" w:type="dxa"/>
            <w:vAlign w:val="center"/>
          </w:tcPr>
          <w:p w14:paraId="27122FCF">
            <w:pPr>
              <w:adjustRightInd w:val="0"/>
              <w:snapToGrid w:val="0"/>
              <w:spacing w:line="276" w:lineRule="auto"/>
              <w:jc w:val="center"/>
              <w:rPr>
                <w:rFonts w:hint="default" w:eastAsia="宋体"/>
                <w:szCs w:val="21"/>
                <w:lang w:val="en-US" w:eastAsia="zh-CN"/>
              </w:rPr>
            </w:pPr>
            <w:r>
              <w:rPr>
                <w:rFonts w:hint="eastAsia"/>
                <w:szCs w:val="21"/>
                <w:lang w:val="en-US" w:eastAsia="zh-CN"/>
              </w:rPr>
              <w:t>0</w:t>
            </w:r>
          </w:p>
        </w:tc>
        <w:tc>
          <w:tcPr>
            <w:tcW w:w="1274" w:type="dxa"/>
            <w:vAlign w:val="center"/>
          </w:tcPr>
          <w:p w14:paraId="6190A33F">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EEBB836">
            <w:pPr>
              <w:adjustRightInd w:val="0"/>
              <w:snapToGrid w:val="0"/>
              <w:spacing w:line="276" w:lineRule="auto"/>
              <w:jc w:val="center"/>
              <w:rPr>
                <w:rFonts w:hint="default" w:eastAsia="宋体"/>
                <w:color w:val="A6A6A6" w:themeColor="background1" w:themeShade="A6"/>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adjustRightInd w:val="0"/>
              <w:snapToGrid w:val="0"/>
              <w:spacing w:line="276" w:lineRule="auto"/>
              <w:jc w:val="center"/>
              <w:rPr>
                <w:b/>
                <w:szCs w:val="21"/>
              </w:rPr>
            </w:pPr>
          </w:p>
        </w:tc>
        <w:tc>
          <w:tcPr>
            <w:tcW w:w="1206" w:type="dxa"/>
            <w:vAlign w:val="center"/>
          </w:tcPr>
          <w:p w14:paraId="4BFFF089">
            <w:pPr>
              <w:adjustRightInd w:val="0"/>
              <w:snapToGrid w:val="0"/>
              <w:spacing w:line="276" w:lineRule="auto"/>
              <w:jc w:val="center"/>
              <w:rPr>
                <w:rFonts w:hint="eastAsia"/>
                <w:szCs w:val="21"/>
              </w:rPr>
            </w:pPr>
            <w:r>
              <w:rPr>
                <w:rFonts w:hint="eastAsia"/>
                <w:szCs w:val="21"/>
              </w:rPr>
              <w:t>3-2-1</w:t>
            </w:r>
          </w:p>
          <w:p w14:paraId="4888F007">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617" w:type="dxa"/>
            <w:gridSpan w:val="10"/>
            <w:vAlign w:val="center"/>
          </w:tcPr>
          <w:p w14:paraId="02C6744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鼓励长期一线执教量化计分</w:t>
            </w:r>
          </w:p>
          <w:p w14:paraId="68AC99B4">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1.2012年3月-2016年1月，湖南有色金属职业技术学院基础课部从事计算机应用技术教学，满4年，2016年9月至2025年7月，湖南开放大学从事关系型数据库、大数据概论、C语言程序设计等课程教学，满9年，共计13年，计5分。</w:t>
            </w:r>
          </w:p>
        </w:tc>
        <w:tc>
          <w:tcPr>
            <w:tcW w:w="1076" w:type="dxa"/>
            <w:vAlign w:val="center"/>
          </w:tcPr>
          <w:p w14:paraId="5947195A">
            <w:pPr>
              <w:adjustRightInd w:val="0"/>
              <w:snapToGrid w:val="0"/>
              <w:spacing w:line="276" w:lineRule="auto"/>
              <w:jc w:val="center"/>
              <w:rPr>
                <w:rFonts w:hint="default" w:eastAsia="宋体"/>
                <w:szCs w:val="21"/>
                <w:lang w:val="en-US" w:eastAsia="zh-CN"/>
              </w:rPr>
            </w:pPr>
            <w:r>
              <w:rPr>
                <w:rFonts w:hint="eastAsia"/>
                <w:szCs w:val="21"/>
                <w:lang w:val="en-US" w:eastAsia="zh-CN"/>
              </w:rPr>
              <w:t>5</w:t>
            </w:r>
          </w:p>
        </w:tc>
        <w:tc>
          <w:tcPr>
            <w:tcW w:w="1274" w:type="dxa"/>
            <w:vAlign w:val="center"/>
          </w:tcPr>
          <w:p w14:paraId="3A53CD2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6D1E8FBF">
            <w:pPr>
              <w:adjustRightInd w:val="0"/>
              <w:snapToGrid w:val="0"/>
              <w:spacing w:line="276" w:lineRule="auto"/>
              <w:jc w:val="center"/>
              <w:rPr>
                <w:rFonts w:hint="eastAsia" w:eastAsia="宋体"/>
                <w:color w:val="A6A6A6" w:themeColor="background1" w:themeShade="A6"/>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rPr>
            </w:pPr>
          </w:p>
        </w:tc>
        <w:tc>
          <w:tcPr>
            <w:tcW w:w="1206" w:type="dxa"/>
            <w:shd w:val="clear" w:color="auto" w:fill="auto"/>
            <w:vAlign w:val="center"/>
          </w:tcPr>
          <w:p w14:paraId="742A19D3">
            <w:pPr>
              <w:adjustRightInd w:val="0"/>
              <w:snapToGrid w:val="0"/>
              <w:spacing w:line="276" w:lineRule="auto"/>
              <w:jc w:val="center"/>
              <w:rPr>
                <w:rFonts w:hint="eastAsia"/>
                <w:szCs w:val="21"/>
              </w:rPr>
            </w:pPr>
            <w:r>
              <w:rPr>
                <w:rFonts w:hint="eastAsia"/>
                <w:szCs w:val="21"/>
              </w:rPr>
              <w:t>3-2-2</w:t>
            </w:r>
          </w:p>
          <w:p w14:paraId="450F29AE">
            <w:pPr>
              <w:adjustRightInd w:val="0"/>
              <w:snapToGrid w:val="0"/>
              <w:spacing w:line="276" w:lineRule="auto"/>
              <w:jc w:val="center"/>
              <w:rPr>
                <w:rFonts w:hint="default" w:ascii="Times New Roman" w:hAnsi="Times New Roman" w:eastAsia="宋体" w:cs="Times New Roman"/>
                <w:kern w:val="2"/>
                <w:sz w:val="21"/>
                <w:szCs w:val="21"/>
                <w:lang w:val="en-US" w:eastAsia="zh-CN" w:bidi="ar-SA"/>
              </w:rPr>
            </w:pPr>
            <w:r>
              <w:rPr>
                <w:rFonts w:hint="eastAsia"/>
                <w:szCs w:val="21"/>
                <w:lang w:eastAsia="zh-CN"/>
              </w:rPr>
              <w:t>（</w:t>
            </w:r>
            <w:r>
              <w:rPr>
                <w:rFonts w:hint="eastAsia"/>
                <w:sz w:val="16"/>
                <w:szCs w:val="16"/>
                <w:lang w:val="en-US" w:eastAsia="zh-CN"/>
              </w:rPr>
              <w:t>满分5分）</w:t>
            </w:r>
          </w:p>
        </w:tc>
        <w:tc>
          <w:tcPr>
            <w:tcW w:w="14617" w:type="dxa"/>
            <w:gridSpan w:val="10"/>
            <w:shd w:val="clear" w:color="auto" w:fill="auto"/>
            <w:vAlign w:val="center"/>
          </w:tcPr>
          <w:p w14:paraId="5EE5C975">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质量监控与评价中心根据参评人员任职期间课堂评教、常规教学状态数据、同行专家评价等数据得出参评人员教学质量评价得分</w:t>
            </w:r>
          </w:p>
          <w:p w14:paraId="777CB845">
            <w:pPr>
              <w:adjustRightInd w:val="0"/>
              <w:snapToGrid w:val="0"/>
              <w:spacing w:line="276" w:lineRule="auto"/>
              <w:rPr>
                <w:rFonts w:hint="eastAsia" w:ascii="Times New Roman" w:hAnsi="Times New Roman" w:eastAsia="宋体" w:cs="Times New Roman"/>
                <w:b/>
                <w:bCs/>
                <w:kern w:val="2"/>
                <w:sz w:val="21"/>
                <w:szCs w:val="24"/>
                <w:vertAlign w:val="baseline"/>
                <w:lang w:val="en-US" w:eastAsia="zh-CN" w:bidi="ar-SA"/>
              </w:rPr>
            </w:pPr>
            <w:r>
              <w:rPr>
                <w:rFonts w:hint="eastAsia" w:ascii="Times New Roman" w:hAnsi="Times New Roman" w:eastAsia="宋体" w:cs="Times New Roman"/>
                <w:b w:val="0"/>
                <w:bCs w:val="0"/>
                <w:color w:val="auto"/>
                <w:vertAlign w:val="baseline"/>
                <w:lang w:val="en-US" w:eastAsia="zh-CN"/>
              </w:rPr>
              <w:t>根据职能部门出具的教学质量评价得分自评分数</w:t>
            </w:r>
          </w:p>
        </w:tc>
        <w:tc>
          <w:tcPr>
            <w:tcW w:w="1076" w:type="dxa"/>
            <w:vAlign w:val="center"/>
          </w:tcPr>
          <w:p w14:paraId="4271D181">
            <w:pPr>
              <w:adjustRightInd w:val="0"/>
              <w:snapToGrid w:val="0"/>
              <w:spacing w:line="276" w:lineRule="auto"/>
              <w:jc w:val="center"/>
              <w:rPr>
                <w:rFonts w:hint="default" w:eastAsia="宋体"/>
                <w:szCs w:val="21"/>
                <w:lang w:val="en-US" w:eastAsia="zh-CN"/>
              </w:rPr>
            </w:pPr>
            <w:r>
              <w:rPr>
                <w:rFonts w:hint="eastAsia"/>
                <w:szCs w:val="21"/>
                <w:lang w:val="en-US" w:eastAsia="zh-CN"/>
              </w:rPr>
              <w:t>5</w:t>
            </w: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rFonts w:hint="default" w:eastAsia="宋体"/>
                <w:color w:val="A6A6A6" w:themeColor="background1" w:themeShade="A6"/>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67F9528C">
            <w:pPr>
              <w:adjustRightInd w:val="0"/>
              <w:snapToGrid w:val="0"/>
              <w:spacing w:line="276" w:lineRule="auto"/>
              <w:jc w:val="center"/>
              <w:rPr>
                <w:b/>
                <w:szCs w:val="21"/>
              </w:rPr>
            </w:pPr>
          </w:p>
        </w:tc>
        <w:tc>
          <w:tcPr>
            <w:tcW w:w="1206" w:type="dxa"/>
            <w:vAlign w:val="center"/>
          </w:tcPr>
          <w:p w14:paraId="7B1C59E2">
            <w:pPr>
              <w:adjustRightInd w:val="0"/>
              <w:snapToGrid w:val="0"/>
              <w:spacing w:line="276" w:lineRule="auto"/>
              <w:jc w:val="center"/>
              <w:rPr>
                <w:rFonts w:hint="default" w:eastAsia="宋体"/>
                <w:szCs w:val="21"/>
                <w:lang w:val="en-US" w:eastAsia="zh-CN"/>
              </w:rPr>
            </w:pPr>
            <w:r>
              <w:rPr>
                <w:rFonts w:hint="default"/>
                <w:szCs w:val="21"/>
                <w:lang w:val="en-US" w:eastAsia="zh-CN"/>
              </w:rPr>
              <w:t>3-3</w:t>
            </w:r>
          </w:p>
        </w:tc>
        <w:tc>
          <w:tcPr>
            <w:tcW w:w="14617" w:type="dxa"/>
            <w:gridSpan w:val="10"/>
            <w:vAlign w:val="center"/>
          </w:tcPr>
          <w:p w14:paraId="6AF0CBE9">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default" w:eastAsia="宋体"/>
                <w:color w:val="4F81BD" w:themeColor="accent1"/>
                <w:szCs w:val="21"/>
                <w:lang w:val="en-US" w:eastAsia="zh-CN"/>
                <w14:textFill>
                  <w14:solidFill>
                    <w14:schemeClr w14:val="accent1"/>
                  </w14:solidFill>
                </w14:textFill>
              </w:rPr>
              <w:t>教学竞赛获奖</w:t>
            </w:r>
          </w:p>
          <w:p w14:paraId="1E10780B">
            <w:pPr>
              <w:adjustRightInd w:val="0"/>
              <w:snapToGrid w:val="0"/>
              <w:spacing w:line="276" w:lineRule="auto"/>
              <w:rPr>
                <w:rFonts w:hint="default" w:ascii="Times New Roman" w:hAnsi="Times New Roman" w:eastAsia="宋体" w:cs="Times New Roman"/>
                <w:b w:val="0"/>
                <w:bCs w:val="0"/>
                <w:color w:val="auto"/>
                <w:vertAlign w:val="baseline"/>
                <w:lang w:val="en-US" w:eastAsia="zh-CN"/>
              </w:rPr>
            </w:pPr>
            <w:r>
              <w:rPr>
                <w:rFonts w:hint="default" w:ascii="Times New Roman" w:hAnsi="Times New Roman" w:eastAsia="宋体" w:cs="Times New Roman"/>
                <w:b w:val="0"/>
                <w:bCs w:val="0"/>
                <w:color w:val="auto"/>
                <w:vertAlign w:val="baseline"/>
                <w:lang w:val="en-US" w:eastAsia="zh-CN"/>
              </w:rPr>
              <w:t>1.2016年，湖南省职业院校信息化教学大赛一等奖，排名第三，湖南省教育厅，计50分；</w:t>
            </w:r>
          </w:p>
          <w:p w14:paraId="4E2CA7E5">
            <w:pPr>
              <w:adjustRightInd w:val="0"/>
              <w:snapToGrid w:val="0"/>
              <w:spacing w:line="276" w:lineRule="auto"/>
              <w:rPr>
                <w:rFonts w:hint="default" w:ascii="Times New Roman" w:hAnsi="Times New Roman" w:eastAsia="宋体" w:cs="Times New Roman"/>
                <w:b w:val="0"/>
                <w:bCs w:val="0"/>
                <w:color w:val="auto"/>
                <w:vertAlign w:val="baseline"/>
                <w:lang w:val="en-US" w:eastAsia="zh-CN"/>
              </w:rPr>
            </w:pPr>
            <w:r>
              <w:rPr>
                <w:rFonts w:hint="default" w:ascii="Times New Roman" w:hAnsi="Times New Roman" w:eastAsia="宋体" w:cs="Times New Roman"/>
                <w:b w:val="0"/>
                <w:bCs w:val="0"/>
                <w:color w:val="auto"/>
                <w:vertAlign w:val="baseline"/>
                <w:lang w:val="en-US" w:eastAsia="zh-CN"/>
              </w:rPr>
              <w:t>2.2017年，湖南省职业院校信息化教学大赛三等奖，排名第三，湖南省教育厅，计15分；</w:t>
            </w:r>
          </w:p>
          <w:p w14:paraId="1E32FC6C">
            <w:pPr>
              <w:adjustRightInd w:val="0"/>
              <w:snapToGrid w:val="0"/>
              <w:spacing w:line="276" w:lineRule="auto"/>
              <w:rPr>
                <w:rFonts w:hint="default" w:ascii="Times New Roman" w:hAnsi="Times New Roman" w:eastAsia="宋体" w:cs="Times New Roman"/>
                <w:b w:val="0"/>
                <w:bCs w:val="0"/>
                <w:color w:val="auto"/>
                <w:vertAlign w:val="baseline"/>
                <w:lang w:val="en-US" w:eastAsia="zh-CN"/>
              </w:rPr>
            </w:pPr>
            <w:r>
              <w:rPr>
                <w:rFonts w:hint="default" w:ascii="Times New Roman" w:hAnsi="Times New Roman" w:eastAsia="宋体" w:cs="Times New Roman"/>
                <w:b w:val="0"/>
                <w:bCs w:val="0"/>
                <w:color w:val="auto"/>
                <w:vertAlign w:val="baseline"/>
                <w:lang w:val="en-US" w:eastAsia="zh-CN"/>
              </w:rPr>
              <w:t>3.2017年，湖南省第二届微课大赛团队一等奖，排名第三，湖南省教育厅，计50分；</w:t>
            </w:r>
          </w:p>
          <w:p w14:paraId="4D9D7F3E">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default" w:ascii="Times New Roman" w:hAnsi="Times New Roman" w:eastAsia="宋体" w:cs="Times New Roman"/>
                <w:b w:val="0"/>
                <w:bCs w:val="0"/>
                <w:color w:val="auto"/>
                <w:vertAlign w:val="baseline"/>
                <w:lang w:val="en-US" w:eastAsia="zh-CN"/>
              </w:rPr>
              <w:t>4.2019年，湖南省职业院校教师职业能力大赛二等奖，排名第三，湖南省教育厅，计25分。</w:t>
            </w:r>
          </w:p>
        </w:tc>
        <w:tc>
          <w:tcPr>
            <w:tcW w:w="1076" w:type="dxa"/>
            <w:vAlign w:val="center"/>
          </w:tcPr>
          <w:p w14:paraId="5ED2C39F">
            <w:pPr>
              <w:adjustRightInd w:val="0"/>
              <w:snapToGrid w:val="0"/>
              <w:spacing w:line="276" w:lineRule="auto"/>
              <w:jc w:val="center"/>
              <w:rPr>
                <w:rFonts w:hint="default" w:eastAsia="宋体"/>
                <w:szCs w:val="21"/>
                <w:lang w:val="en-US" w:eastAsia="zh-CN"/>
              </w:rPr>
            </w:pPr>
            <w:r>
              <w:rPr>
                <w:rFonts w:hint="eastAsia"/>
                <w:szCs w:val="21"/>
                <w:lang w:val="en-US" w:eastAsia="zh-CN"/>
              </w:rPr>
              <w:t>140</w:t>
            </w:r>
          </w:p>
        </w:tc>
        <w:tc>
          <w:tcPr>
            <w:tcW w:w="1274" w:type="dxa"/>
            <w:vAlign w:val="center"/>
          </w:tcPr>
          <w:p w14:paraId="119EA96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156</w:t>
            </w:r>
          </w:p>
        </w:tc>
        <w:tc>
          <w:tcPr>
            <w:tcW w:w="2331" w:type="dxa"/>
            <w:vAlign w:val="center"/>
          </w:tcPr>
          <w:p w14:paraId="209696FF">
            <w:pPr>
              <w:adjustRightInd w:val="0"/>
              <w:snapToGrid w:val="0"/>
              <w:spacing w:line="276" w:lineRule="auto"/>
              <w:jc w:val="center"/>
              <w:rPr>
                <w:rFonts w:hint="default"/>
                <w:color w:val="A6A6A6" w:themeColor="background1" w:themeShade="A6"/>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9C1D311">
            <w:pPr>
              <w:adjustRightInd w:val="0"/>
              <w:snapToGrid w:val="0"/>
              <w:spacing w:line="276" w:lineRule="auto"/>
              <w:jc w:val="center"/>
              <w:rPr>
                <w:b/>
                <w:szCs w:val="21"/>
              </w:rPr>
            </w:pPr>
          </w:p>
        </w:tc>
        <w:tc>
          <w:tcPr>
            <w:tcW w:w="1206" w:type="dxa"/>
            <w:vAlign w:val="center"/>
          </w:tcPr>
          <w:p w14:paraId="740BBFA7">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617" w:type="dxa"/>
            <w:gridSpan w:val="10"/>
            <w:vAlign w:val="center"/>
          </w:tcPr>
          <w:p w14:paraId="7CEB1302">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教学创新团队建设计分</w:t>
            </w:r>
          </w:p>
          <w:p w14:paraId="4C01DD41">
            <w:pPr>
              <w:adjustRightInd w:val="0"/>
              <w:snapToGrid w:val="0"/>
              <w:spacing w:line="276" w:lineRule="auto"/>
              <w:rPr>
                <w:rFonts w:hint="default"/>
                <w:color w:val="000000" w:themeColor="text1"/>
                <w:szCs w:val="21"/>
                <w:lang w:val="en-US"/>
                <w14:textFill>
                  <w14:solidFill>
                    <w14:schemeClr w14:val="tx1"/>
                  </w14:solidFill>
                </w14:textFill>
              </w:rPr>
            </w:pPr>
            <w:r>
              <w:rPr>
                <w:rFonts w:hint="eastAsia" w:ascii="Times New Roman" w:hAnsi="Times New Roman" w:eastAsia="宋体" w:cs="Times New Roman"/>
                <w:b w:val="0"/>
                <w:bCs w:val="0"/>
                <w:color w:val="auto"/>
                <w:vertAlign w:val="baseline"/>
                <w:lang w:eastAsia="zh-CN"/>
              </w:rPr>
              <w:t>关于公布2020年湖南省职业院校专业教学团队</w:t>
            </w:r>
            <w:r>
              <w:rPr>
                <w:rFonts w:hint="eastAsia" w:cs="Times New Roman"/>
                <w:b w:val="0"/>
                <w:bCs w:val="0"/>
                <w:color w:val="auto"/>
                <w:vertAlign w:val="baseline"/>
                <w:lang w:val="en-US" w:eastAsia="zh-CN"/>
              </w:rPr>
              <w:t>验收</w:t>
            </w:r>
            <w:r>
              <w:rPr>
                <w:rFonts w:hint="eastAsia" w:ascii="Times New Roman" w:hAnsi="Times New Roman" w:eastAsia="宋体" w:cs="Times New Roman"/>
                <w:b w:val="0"/>
                <w:bCs w:val="0"/>
                <w:color w:val="auto"/>
                <w:vertAlign w:val="baseline"/>
                <w:lang w:eastAsia="zh-CN"/>
              </w:rPr>
              <w:t>结果的通知（</w:t>
            </w:r>
            <w:r>
              <w:rPr>
                <w:rFonts w:hint="eastAsia" w:ascii="Times New Roman" w:hAnsi="Times New Roman" w:eastAsia="宋体" w:cs="Times New Roman"/>
                <w:b w:val="0"/>
                <w:bCs w:val="0"/>
                <w:color w:val="auto"/>
                <w:vertAlign w:val="baseline"/>
                <w:lang w:val="en-US" w:eastAsia="zh-CN"/>
              </w:rPr>
              <w:t>省级</w:t>
            </w:r>
            <w:r>
              <w:rPr>
                <w:rFonts w:hint="eastAsia" w:ascii="Times New Roman" w:hAnsi="Times New Roman" w:eastAsia="宋体" w:cs="Times New Roman"/>
                <w:b w:val="0"/>
                <w:bCs w:val="0"/>
                <w:color w:val="auto"/>
                <w:vertAlign w:val="baseline"/>
                <w:lang w:eastAsia="zh-CN"/>
              </w:rPr>
              <w:t>），</w:t>
            </w:r>
            <w:r>
              <w:rPr>
                <w:rFonts w:hint="eastAsia" w:ascii="Times New Roman" w:hAnsi="Times New Roman" w:eastAsia="宋体" w:cs="Times New Roman"/>
                <w:b w:val="0"/>
                <w:bCs w:val="0"/>
                <w:color w:val="auto"/>
                <w:vertAlign w:val="baseline"/>
                <w:lang w:val="en-US" w:eastAsia="zh-CN"/>
              </w:rPr>
              <w:t>数字媒体技术专业教学团队，排名第二，计20分。</w:t>
            </w:r>
          </w:p>
        </w:tc>
        <w:tc>
          <w:tcPr>
            <w:tcW w:w="1076"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20</w:t>
            </w:r>
          </w:p>
        </w:tc>
        <w:tc>
          <w:tcPr>
            <w:tcW w:w="1274" w:type="dxa"/>
            <w:vAlign w:val="center"/>
          </w:tcPr>
          <w:p w14:paraId="4336040E">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20</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szCs w:val="21"/>
              </w:rPr>
            </w:pPr>
          </w:p>
        </w:tc>
        <w:tc>
          <w:tcPr>
            <w:tcW w:w="1206" w:type="dxa"/>
            <w:vAlign w:val="center"/>
          </w:tcPr>
          <w:p w14:paraId="4000A22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617" w:type="dxa"/>
            <w:gridSpan w:val="10"/>
            <w:vAlign w:val="center"/>
          </w:tcPr>
          <w:p w14:paraId="5C54E11E">
            <w:pPr>
              <w:adjustRightInd w:val="0"/>
              <w:snapToGrid w:val="0"/>
              <w:spacing w:line="276" w:lineRule="auto"/>
              <w:rPr>
                <w:rFonts w:hint="default"/>
                <w:b/>
                <w:bCs/>
                <w:color w:val="000000" w:themeColor="text1"/>
                <w:szCs w:val="21"/>
                <w:lang w:val="en-US"/>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实训基地建设</w:t>
            </w:r>
            <w:r>
              <w:rPr>
                <w:rFonts w:hint="eastAsia"/>
                <w:color w:val="4F81BD" w:themeColor="accent1"/>
                <w:szCs w:val="21"/>
                <w:lang w:val="en-US" w:eastAsia="zh-CN"/>
                <w14:textFill>
                  <w14:solidFill>
                    <w14:schemeClr w14:val="accent1"/>
                  </w14:solidFill>
                </w14:textFill>
              </w:rPr>
              <w:t>：</w:t>
            </w:r>
            <w:r>
              <w:rPr>
                <w:rFonts w:hint="eastAsia" w:ascii="Times New Roman" w:hAnsi="Times New Roman" w:eastAsia="宋体" w:cs="Times New Roman"/>
                <w:b w:val="0"/>
                <w:bCs w:val="0"/>
                <w:color w:val="auto"/>
                <w:vertAlign w:val="baseline"/>
                <w:lang w:val="en-US" w:eastAsia="zh-CN"/>
              </w:rPr>
              <w:t>无</w:t>
            </w:r>
          </w:p>
        </w:tc>
        <w:tc>
          <w:tcPr>
            <w:tcW w:w="1076"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0</w:t>
            </w: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rPr>
            </w:pPr>
          </w:p>
        </w:tc>
        <w:tc>
          <w:tcPr>
            <w:tcW w:w="1206" w:type="dxa"/>
            <w:vAlign w:val="center"/>
          </w:tcPr>
          <w:p w14:paraId="5654808A">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617" w:type="dxa"/>
            <w:gridSpan w:val="10"/>
            <w:vAlign w:val="center"/>
          </w:tcPr>
          <w:p w14:paraId="7C0E77D3">
            <w:pPr>
              <w:adjustRightInd w:val="0"/>
              <w:snapToGrid w:val="0"/>
              <w:spacing w:line="276" w:lineRule="auto"/>
              <w:rPr>
                <w:rFonts w:hint="eastAsia"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精品课程</w:t>
            </w:r>
          </w:p>
          <w:p w14:paraId="271F89C9">
            <w:pPr>
              <w:adjustRightInd w:val="0"/>
              <w:snapToGrid w:val="0"/>
              <w:spacing w:line="276" w:lineRule="auto"/>
              <w:rPr>
                <w:rFonts w:hint="eastAsia"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1.教育部办公厅关于国家职业教育精品在线开放课程建设项目（国家级），Python程序设计基础，排名第四，计10分。</w:t>
            </w:r>
          </w:p>
          <w:p w14:paraId="5B49E334">
            <w:pPr>
              <w:adjustRightInd w:val="0"/>
              <w:snapToGrid w:val="0"/>
              <w:spacing w:line="276" w:lineRule="auto"/>
              <w:rPr>
                <w:rFonts w:hint="eastAsia"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2.关于公布</w:t>
            </w:r>
            <w:r>
              <w:rPr>
                <w:rFonts w:hint="default" w:ascii="Times New Roman" w:hAnsi="Times New Roman" w:eastAsia="宋体" w:cs="Times New Roman"/>
                <w:b w:val="0"/>
                <w:bCs w:val="0"/>
                <w:color w:val="auto"/>
                <w:vertAlign w:val="baseline"/>
                <w:lang w:val="en-US" w:eastAsia="zh-CN"/>
              </w:rPr>
              <w:t xml:space="preserve"> </w:t>
            </w:r>
            <w:r>
              <w:rPr>
                <w:rFonts w:hint="eastAsia" w:ascii="Times New Roman" w:hAnsi="Times New Roman" w:eastAsia="宋体" w:cs="Times New Roman"/>
                <w:b w:val="0"/>
                <w:bCs w:val="0"/>
                <w:color w:val="auto"/>
                <w:vertAlign w:val="baseline"/>
                <w:lang w:val="en-US" w:eastAsia="zh-CN"/>
              </w:rPr>
              <w:t>2023</w:t>
            </w:r>
            <w:r>
              <w:rPr>
                <w:rFonts w:hint="default" w:ascii="Times New Roman" w:hAnsi="Times New Roman" w:eastAsia="宋体" w:cs="Times New Roman"/>
                <w:b w:val="0"/>
                <w:bCs w:val="0"/>
                <w:color w:val="auto"/>
                <w:vertAlign w:val="baseline"/>
                <w:lang w:val="en-US" w:eastAsia="zh-CN"/>
              </w:rPr>
              <w:t xml:space="preserve"> 年湖南省职业教育精品在线开放课程与专业（群）教学资源库项目立项（认定）结果的通知</w:t>
            </w:r>
            <w:r>
              <w:rPr>
                <w:rFonts w:hint="eastAsia" w:ascii="Times New Roman" w:hAnsi="Times New Roman" w:eastAsia="宋体" w:cs="Times New Roman"/>
                <w:b w:val="0"/>
                <w:bCs w:val="0"/>
                <w:color w:val="auto"/>
                <w:vertAlign w:val="baseline"/>
                <w:lang w:val="en-US" w:eastAsia="zh-CN"/>
              </w:rPr>
              <w:t>（湘教通〔2023〕341号），（省级），大数据技术专业教学资源库建设项目，排名第三，计8分。</w:t>
            </w:r>
          </w:p>
          <w:p w14:paraId="6F8A2AA1">
            <w:pPr>
              <w:adjustRightInd w:val="0"/>
              <w:snapToGrid w:val="0"/>
              <w:spacing w:line="276" w:lineRule="auto"/>
              <w:rPr>
                <w:rFonts w:hint="eastAsia"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3.关于公布</w:t>
            </w:r>
            <w:r>
              <w:rPr>
                <w:rFonts w:hint="default" w:ascii="Times New Roman" w:hAnsi="Times New Roman" w:eastAsia="宋体" w:cs="Times New Roman"/>
                <w:b w:val="0"/>
                <w:bCs w:val="0"/>
                <w:color w:val="auto"/>
                <w:vertAlign w:val="baseline"/>
                <w:lang w:val="en-US" w:eastAsia="zh-CN"/>
              </w:rPr>
              <w:t xml:space="preserve"> </w:t>
            </w:r>
            <w:r>
              <w:rPr>
                <w:rFonts w:hint="eastAsia" w:ascii="Times New Roman" w:hAnsi="Times New Roman" w:eastAsia="宋体" w:cs="Times New Roman"/>
                <w:b w:val="0"/>
                <w:bCs w:val="0"/>
                <w:color w:val="auto"/>
                <w:vertAlign w:val="baseline"/>
                <w:lang w:val="en-US" w:eastAsia="zh-CN"/>
              </w:rPr>
              <w:t>2023</w:t>
            </w:r>
            <w:r>
              <w:rPr>
                <w:rFonts w:hint="default" w:ascii="Times New Roman" w:hAnsi="Times New Roman" w:eastAsia="宋体" w:cs="Times New Roman"/>
                <w:b w:val="0"/>
                <w:bCs w:val="0"/>
                <w:color w:val="auto"/>
                <w:vertAlign w:val="baseline"/>
                <w:lang w:val="en-US" w:eastAsia="zh-CN"/>
              </w:rPr>
              <w:t xml:space="preserve"> 年湖南省职业教育精品在线开放课程与专业（群）教学资源库项目立项（认定）结果的通知</w:t>
            </w:r>
            <w:r>
              <w:rPr>
                <w:rFonts w:hint="eastAsia" w:ascii="Times New Roman" w:hAnsi="Times New Roman" w:eastAsia="宋体" w:cs="Times New Roman"/>
                <w:b w:val="0"/>
                <w:bCs w:val="0"/>
                <w:color w:val="auto"/>
                <w:vertAlign w:val="baseline"/>
                <w:lang w:val="en-US" w:eastAsia="zh-CN"/>
              </w:rPr>
              <w:t>（湘教通〔2023〕341号）（省级），数据库管理与应用，主持，计50分。（已认定）</w:t>
            </w:r>
          </w:p>
          <w:p w14:paraId="0F195960">
            <w:pPr>
              <w:adjustRightInd w:val="0"/>
              <w:snapToGrid w:val="0"/>
              <w:spacing w:line="276" w:lineRule="auto"/>
              <w:rPr>
                <w:rFonts w:hint="eastAsia"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4.关于公布2020年湖南省职业院校线上教学优秀案例及教学资源建设与教学改革研究项目评审结果的通知（湘教通〔2020〕289号）（省级），MongoDB数据库开发，排名第三，计8分。（已认定）</w:t>
            </w:r>
          </w:p>
          <w:p w14:paraId="2D8341AD">
            <w:pPr>
              <w:adjustRightInd w:val="0"/>
              <w:snapToGrid w:val="0"/>
              <w:spacing w:line="276" w:lineRule="auto"/>
              <w:rPr>
                <w:rFonts w:hint="eastAsia"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5.关于公布2020年湖南省职业院校线上教学优秀案例及教学资源建设与教学改革研究项目评审结果的通知（湘教通〔2020〕289号）（省级），C#程序设计基础，排名第二，计10分。（已认定）</w:t>
            </w:r>
          </w:p>
          <w:p w14:paraId="5BB7176B">
            <w:pPr>
              <w:adjustRightInd w:val="0"/>
              <w:snapToGrid w:val="0"/>
              <w:spacing w:line="276" w:lineRule="auto"/>
              <w:rPr>
                <w:rFonts w:hint="default"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6.关于公布2020年湖南省职业院校线上教学优秀案例及教学资源建设与教学改革研究项目评审结果的通知（湘教通〔2020〕289号）（省级），网络安全技术，排名第四，计4分。（已认定）</w:t>
            </w:r>
          </w:p>
          <w:p w14:paraId="3B5366B6">
            <w:pPr>
              <w:adjustRightInd w:val="0"/>
              <w:snapToGrid w:val="0"/>
              <w:spacing w:line="276" w:lineRule="auto"/>
              <w:rPr>
                <w:rFonts w:hint="default"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7.关于公布2020年湖南省职业院校线上教学优秀案例及教学资源建设与教学改革研究项目评审结果的通知（湘教通〔2020〕289号）（省级），Python程序设计基础》，排名第五，计2分。（已认定）</w:t>
            </w:r>
          </w:p>
          <w:p w14:paraId="616D299C">
            <w:pPr>
              <w:adjustRightInd w:val="0"/>
              <w:snapToGrid w:val="0"/>
              <w:spacing w:line="276" w:lineRule="auto"/>
              <w:rPr>
                <w:rFonts w:hint="default"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8.关于公布2019年湖南省高等职业教育精品在线开放课程评审结果的通知（湘教通〔2019〕311号）（省级），Camtasia Studio视频制作技术，排名第三，计8分。（已认定）</w:t>
            </w:r>
          </w:p>
          <w:p w14:paraId="42572CC8">
            <w:pPr>
              <w:adjustRightInd w:val="0"/>
              <w:snapToGrid w:val="0"/>
              <w:spacing w:line="276" w:lineRule="auto"/>
              <w:rPr>
                <w:rFonts w:hint="eastAsia"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9.关于公布2017年亚行贷款职教示范项目软实力建设项目遴选结果的通知，湖南省亚行贷款软实力建设项目在线网络开放课程（省级），大数据概论，2022，湖南省教育厅，主持，计15分。</w:t>
            </w:r>
          </w:p>
          <w:p w14:paraId="22E55A86">
            <w:pPr>
              <w:adjustRightInd w:val="0"/>
              <w:snapToGrid w:val="0"/>
              <w:spacing w:line="276" w:lineRule="auto"/>
              <w:rPr>
                <w:rFonts w:hint="eastAsia"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10.关于公布2017年亚行贷款职教示范项目软实力建设项目遴选结果的通知，湖南省亚行贷款软实力建设项目在线网络开放课程（省级），计算思维与程序设计》，排名第三，计4分。</w:t>
            </w:r>
          </w:p>
        </w:tc>
        <w:tc>
          <w:tcPr>
            <w:tcW w:w="1076" w:type="dxa"/>
            <w:vAlign w:val="center"/>
          </w:tcPr>
          <w:p w14:paraId="2DE37CEA">
            <w:pPr>
              <w:adjustRightInd w:val="0"/>
              <w:snapToGrid w:val="0"/>
              <w:spacing w:line="276" w:lineRule="auto"/>
              <w:jc w:val="center"/>
              <w:rPr>
                <w:rFonts w:hint="default" w:eastAsia="宋体"/>
                <w:szCs w:val="21"/>
                <w:lang w:val="en-US" w:eastAsia="zh-CN"/>
              </w:rPr>
            </w:pPr>
            <w:r>
              <w:rPr>
                <w:rFonts w:hint="eastAsia"/>
                <w:szCs w:val="21"/>
                <w:lang w:val="en-US" w:eastAsia="zh-CN"/>
              </w:rPr>
              <w:t>119</w:t>
            </w:r>
          </w:p>
        </w:tc>
        <w:tc>
          <w:tcPr>
            <w:tcW w:w="1274" w:type="dxa"/>
            <w:vAlign w:val="center"/>
          </w:tcPr>
          <w:p w14:paraId="069D2CC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119</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206" w:type="dxa"/>
            <w:vAlign w:val="center"/>
          </w:tcPr>
          <w:p w14:paraId="75AB3C1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617" w:type="dxa"/>
            <w:gridSpan w:val="10"/>
            <w:vAlign w:val="center"/>
          </w:tcPr>
          <w:p w14:paraId="0C09F4C0">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建设高水平专业情况</w:t>
            </w:r>
          </w:p>
          <w:p w14:paraId="26E3FBB2">
            <w:pPr>
              <w:adjustRightInd w:val="0"/>
              <w:snapToGrid w:val="0"/>
              <w:spacing w:line="276" w:lineRule="auto"/>
              <w:rPr>
                <w:rFonts w:hint="default"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1.湖南省高职院校示范性特色专业群，执笔人，计10分。</w:t>
            </w:r>
          </w:p>
          <w:p w14:paraId="0C615029">
            <w:pPr>
              <w:adjustRightInd w:val="0"/>
              <w:snapToGrid w:val="0"/>
              <w:spacing w:line="276" w:lineRule="auto"/>
              <w:rPr>
                <w:rFonts w:hint="default" w:ascii="宋体" w:hAnsi="宋体" w:eastAsia="宋体" w:cs="宋体"/>
                <w:lang w:val="en-US" w:eastAsia="zh-CN"/>
              </w:rPr>
            </w:pPr>
            <w:r>
              <w:rPr>
                <w:rFonts w:hint="eastAsia" w:ascii="Times New Roman" w:hAnsi="Times New Roman" w:eastAsia="宋体" w:cs="Times New Roman"/>
                <w:b w:val="0"/>
                <w:bCs w:val="0"/>
                <w:color w:val="auto"/>
                <w:vertAlign w:val="baseline"/>
                <w:lang w:val="en-US" w:eastAsia="zh-CN"/>
              </w:rPr>
              <w:t>2.湖南省楚怡高水平学校与专业群A档，执笔人，计10分。</w:t>
            </w:r>
          </w:p>
        </w:tc>
        <w:tc>
          <w:tcPr>
            <w:tcW w:w="1076" w:type="dxa"/>
            <w:vAlign w:val="center"/>
          </w:tcPr>
          <w:p w14:paraId="2AD8D4CD">
            <w:pPr>
              <w:adjustRightInd w:val="0"/>
              <w:snapToGrid w:val="0"/>
              <w:spacing w:line="276" w:lineRule="auto"/>
              <w:jc w:val="center"/>
              <w:rPr>
                <w:rFonts w:hint="default" w:eastAsia="宋体"/>
                <w:szCs w:val="21"/>
                <w:lang w:val="en-US" w:eastAsia="zh-CN"/>
              </w:rPr>
            </w:pPr>
            <w:r>
              <w:rPr>
                <w:rFonts w:hint="eastAsia"/>
                <w:szCs w:val="21"/>
                <w:lang w:val="en-US" w:eastAsia="zh-CN"/>
              </w:rPr>
              <w:t>20</w:t>
            </w: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rFonts w:hint="eastAsia"/>
                <w:color w:val="A6A6A6" w:themeColor="background1" w:themeShade="A6"/>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rPr>
            </w:pPr>
          </w:p>
        </w:tc>
        <w:tc>
          <w:tcPr>
            <w:tcW w:w="1206" w:type="dxa"/>
            <w:vAlign w:val="center"/>
          </w:tcPr>
          <w:p w14:paraId="789674C1">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4617" w:type="dxa"/>
            <w:gridSpan w:val="10"/>
            <w:vAlign w:val="center"/>
          </w:tcPr>
          <w:p w14:paraId="7BA46F0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新申报专业情况</w:t>
            </w:r>
          </w:p>
          <w:p w14:paraId="71DDD7F4">
            <w:pPr>
              <w:adjustRightInd w:val="0"/>
              <w:snapToGrid w:val="0"/>
              <w:spacing w:line="276" w:lineRule="auto"/>
              <w:rPr>
                <w:rFonts w:hint="default" w:ascii="宋体" w:hAnsi="宋体" w:eastAsia="宋体" w:cs="宋体"/>
                <w:lang w:val="en-US" w:eastAsia="zh-CN"/>
              </w:rPr>
            </w:pPr>
            <w:r>
              <w:rPr>
                <w:rFonts w:hint="eastAsia" w:ascii="Times New Roman" w:hAnsi="Times New Roman" w:eastAsia="宋体" w:cs="Times New Roman"/>
                <w:b w:val="0"/>
                <w:bCs w:val="0"/>
                <w:color w:val="auto"/>
                <w:vertAlign w:val="baseline"/>
                <w:lang w:val="en-US" w:eastAsia="zh-CN"/>
              </w:rPr>
              <w:t>2024年，湖南省“楚怡工匠计划”数字媒体技术本科专业，主持，计15分。</w:t>
            </w:r>
          </w:p>
        </w:tc>
        <w:tc>
          <w:tcPr>
            <w:tcW w:w="1076" w:type="dxa"/>
            <w:vAlign w:val="center"/>
          </w:tcPr>
          <w:p w14:paraId="560F1C0D">
            <w:pPr>
              <w:adjustRightInd w:val="0"/>
              <w:snapToGrid w:val="0"/>
              <w:spacing w:line="276" w:lineRule="auto"/>
              <w:jc w:val="center"/>
              <w:rPr>
                <w:rFonts w:hint="default" w:eastAsia="宋体"/>
                <w:szCs w:val="21"/>
                <w:lang w:val="en-US" w:eastAsia="zh-CN"/>
              </w:rPr>
            </w:pPr>
            <w:r>
              <w:rPr>
                <w:rFonts w:hint="eastAsia"/>
                <w:szCs w:val="21"/>
                <w:lang w:val="en-US" w:eastAsia="zh-CN"/>
              </w:rPr>
              <w:t>15</w:t>
            </w:r>
          </w:p>
        </w:tc>
        <w:tc>
          <w:tcPr>
            <w:tcW w:w="1274" w:type="dxa"/>
            <w:vAlign w:val="center"/>
          </w:tcPr>
          <w:p w14:paraId="32A4B0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8</w:t>
            </w:r>
          </w:p>
        </w:tc>
        <w:tc>
          <w:tcPr>
            <w:tcW w:w="2331" w:type="dxa"/>
            <w:vAlign w:val="center"/>
          </w:tcPr>
          <w:p w14:paraId="2606A129">
            <w:pPr>
              <w:adjustRightInd w:val="0"/>
              <w:snapToGrid w:val="0"/>
              <w:spacing w:line="276" w:lineRule="auto"/>
              <w:jc w:val="center"/>
              <w:rPr>
                <w:rFonts w:hint="eastAsia"/>
                <w:color w:val="A6A6A6" w:themeColor="background1" w:themeShade="A6"/>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szCs w:val="21"/>
              </w:rPr>
            </w:pPr>
          </w:p>
        </w:tc>
        <w:tc>
          <w:tcPr>
            <w:tcW w:w="1206" w:type="dxa"/>
            <w:vAlign w:val="center"/>
          </w:tcPr>
          <w:p w14:paraId="1017A07C">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617" w:type="dxa"/>
            <w:gridSpan w:val="10"/>
            <w:vAlign w:val="center"/>
          </w:tcPr>
          <w:p w14:paraId="7797822E">
            <w:pPr>
              <w:adjustRightInd w:val="0"/>
              <w:snapToGrid w:val="0"/>
              <w:spacing w:line="276" w:lineRule="auto"/>
              <w:rPr>
                <w:rFonts w:hint="eastAsia"/>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指导毕业设计抽查评优</w:t>
            </w:r>
            <w:r>
              <w:rPr>
                <w:rFonts w:hint="eastAsia"/>
                <w:color w:val="4F81BD" w:themeColor="accent1"/>
                <w:szCs w:val="21"/>
                <w:lang w:val="en-US" w:eastAsia="zh-CN"/>
                <w14:textFill>
                  <w14:solidFill>
                    <w14:schemeClr w14:val="accent1"/>
                  </w14:solidFill>
                </w14:textFill>
              </w:rPr>
              <w:t>：</w:t>
            </w:r>
            <w:r>
              <w:rPr>
                <w:rFonts w:hint="eastAsia"/>
                <w:b w:val="0"/>
                <w:bCs w:val="0"/>
                <w:color w:val="auto"/>
                <w:vertAlign w:val="baseline"/>
                <w:lang w:val="en-US" w:eastAsia="zh-CN"/>
              </w:rPr>
              <w:t>无</w:t>
            </w:r>
          </w:p>
        </w:tc>
        <w:tc>
          <w:tcPr>
            <w:tcW w:w="1076" w:type="dxa"/>
            <w:vAlign w:val="center"/>
          </w:tcPr>
          <w:p w14:paraId="0D5B657C">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6DF5A22">
            <w:pPr>
              <w:adjustRightInd w:val="0"/>
              <w:snapToGrid w:val="0"/>
              <w:spacing w:line="276" w:lineRule="auto"/>
              <w:jc w:val="center"/>
              <w:rPr>
                <w:rFonts w:hint="eastAsia"/>
                <w:color w:val="A6A6A6" w:themeColor="background1" w:themeShade="A6"/>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0BFB5E95">
            <w:pPr>
              <w:adjustRightInd w:val="0"/>
              <w:snapToGrid w:val="0"/>
              <w:spacing w:line="276" w:lineRule="auto"/>
              <w:jc w:val="center"/>
              <w:rPr>
                <w:b/>
                <w:szCs w:val="21"/>
              </w:rPr>
            </w:pPr>
          </w:p>
        </w:tc>
        <w:tc>
          <w:tcPr>
            <w:tcW w:w="1206" w:type="dxa"/>
            <w:vAlign w:val="center"/>
          </w:tcPr>
          <w:p w14:paraId="64CE5DB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617" w:type="dxa"/>
            <w:gridSpan w:val="10"/>
            <w:vAlign w:val="center"/>
          </w:tcPr>
          <w:p w14:paraId="61C0E71C">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教学工作基地情况</w:t>
            </w:r>
          </w:p>
          <w:p w14:paraId="305D4FD7">
            <w:pPr>
              <w:adjustRightInd w:val="0"/>
              <w:snapToGrid w:val="0"/>
              <w:spacing w:line="276" w:lineRule="auto"/>
              <w:rPr>
                <w:rFonts w:hint="default"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1.2024年学习型社会建设重点任务（高等继续教育领域）培育建设名单公示（国家级），国家学习型社会建设重点任务建设项目—数字媒体技术专业群“三教协同、五体一体、多维融合”育人体系创新实践，主持</w:t>
            </w:r>
            <w:r>
              <w:rPr>
                <w:rFonts w:hint="eastAsia" w:cs="Times New Roman"/>
                <w:b w:val="0"/>
                <w:bCs w:val="0"/>
                <w:color w:val="auto"/>
                <w:vertAlign w:val="baseline"/>
                <w:lang w:val="en-US" w:eastAsia="zh-CN"/>
              </w:rPr>
              <w:t>，计100分</w:t>
            </w:r>
            <w:r>
              <w:rPr>
                <w:rFonts w:hint="eastAsia" w:ascii="Times New Roman" w:hAnsi="Times New Roman" w:eastAsia="宋体" w:cs="Times New Roman"/>
                <w:b w:val="0"/>
                <w:bCs w:val="0"/>
                <w:color w:val="auto"/>
                <w:vertAlign w:val="baseline"/>
                <w:lang w:val="en-US" w:eastAsia="zh-CN"/>
              </w:rPr>
              <w:t>；</w:t>
            </w:r>
          </w:p>
          <w:p w14:paraId="0AF7B2A4">
            <w:pPr>
              <w:adjustRightInd w:val="0"/>
              <w:snapToGrid w:val="0"/>
              <w:spacing w:line="276" w:lineRule="auto"/>
              <w:rPr>
                <w:rFonts w:hint="eastAsia"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2.关于公布2016年亚行贷款职教示范项目软实力建设项目评审结果的通知（省级），湖南省亚行贷款职教示范项目软实力建设人员培训项目—网络课程资源制作与课程教学模式创新培训，主持，计</w:t>
            </w:r>
            <w:r>
              <w:rPr>
                <w:rFonts w:hint="eastAsia" w:cs="Times New Roman"/>
                <w:b w:val="0"/>
                <w:bCs w:val="0"/>
                <w:color w:val="auto"/>
                <w:vertAlign w:val="baseline"/>
                <w:lang w:val="en-US" w:eastAsia="zh-CN"/>
              </w:rPr>
              <w:t>20</w:t>
            </w:r>
            <w:r>
              <w:rPr>
                <w:rFonts w:hint="eastAsia" w:ascii="Times New Roman" w:hAnsi="Times New Roman" w:eastAsia="宋体" w:cs="Times New Roman"/>
                <w:b w:val="0"/>
                <w:bCs w:val="0"/>
                <w:color w:val="auto"/>
                <w:vertAlign w:val="baseline"/>
                <w:lang w:val="en-US" w:eastAsia="zh-CN"/>
              </w:rPr>
              <w:t>分，结项；</w:t>
            </w:r>
          </w:p>
          <w:p w14:paraId="431DF793">
            <w:pPr>
              <w:adjustRightInd w:val="0"/>
              <w:snapToGrid w:val="0"/>
              <w:spacing w:line="276" w:lineRule="auto"/>
              <w:rPr>
                <w:rFonts w:hint="eastAsia"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3.关于公布2017年亚行贷款职教示范项目软实力建设项目遴选结果的通知（省级），湖南省亚行贷款职教示范项目软实力建设人员培训项目—“互联网+”特色专业群建设培训，主持，计</w:t>
            </w:r>
            <w:r>
              <w:rPr>
                <w:rFonts w:hint="eastAsia" w:cs="Times New Roman"/>
                <w:b w:val="0"/>
                <w:bCs w:val="0"/>
                <w:color w:val="auto"/>
                <w:vertAlign w:val="baseline"/>
                <w:lang w:val="en-US" w:eastAsia="zh-CN"/>
              </w:rPr>
              <w:t>20</w:t>
            </w:r>
            <w:r>
              <w:rPr>
                <w:rFonts w:hint="eastAsia" w:ascii="Times New Roman" w:hAnsi="Times New Roman" w:eastAsia="宋体" w:cs="Times New Roman"/>
                <w:b w:val="0"/>
                <w:bCs w:val="0"/>
                <w:color w:val="auto"/>
                <w:vertAlign w:val="baseline"/>
                <w:lang w:val="en-US" w:eastAsia="zh-CN"/>
              </w:rPr>
              <w:t>分，结项；</w:t>
            </w:r>
          </w:p>
          <w:p w14:paraId="7DA15F2B">
            <w:pPr>
              <w:adjustRightInd w:val="0"/>
              <w:snapToGrid w:val="0"/>
              <w:spacing w:line="276" w:lineRule="auto"/>
              <w:rPr>
                <w:rFonts w:hint="eastAsia"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4.关于公布2017年亚行贷款职教示范项目软实力建设项目遴选结果的通知（省级），湖南省亚行贷款职教示范项目软实力建设人员培训项目—“新进教师信息化教学实践技能培训，主持，计</w:t>
            </w:r>
            <w:r>
              <w:rPr>
                <w:rFonts w:hint="eastAsia" w:cs="Times New Roman"/>
                <w:b w:val="0"/>
                <w:bCs w:val="0"/>
                <w:color w:val="auto"/>
                <w:vertAlign w:val="baseline"/>
                <w:lang w:val="en-US" w:eastAsia="zh-CN"/>
              </w:rPr>
              <w:t>20</w:t>
            </w:r>
            <w:r>
              <w:rPr>
                <w:rFonts w:hint="eastAsia" w:ascii="Times New Roman" w:hAnsi="Times New Roman" w:eastAsia="宋体" w:cs="Times New Roman"/>
                <w:b w:val="0"/>
                <w:bCs w:val="0"/>
                <w:color w:val="auto"/>
                <w:vertAlign w:val="baseline"/>
                <w:lang w:val="en-US" w:eastAsia="zh-CN"/>
              </w:rPr>
              <w:t>分，结项；</w:t>
            </w:r>
          </w:p>
          <w:p w14:paraId="0D66676A">
            <w:pPr>
              <w:adjustRightInd w:val="0"/>
              <w:snapToGrid w:val="0"/>
              <w:spacing w:line="276" w:lineRule="auto"/>
              <w:rPr>
                <w:rFonts w:hint="eastAsia"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5.关于公布2017年亚行贷款职教示范项目软实力建设项目遴选结果的通知（省级），湖南省亚行贷款职教示范项目软实力建设职业教育体系建设项目—“网络在线开放课程资源建设，主持，计</w:t>
            </w:r>
            <w:r>
              <w:rPr>
                <w:rFonts w:hint="eastAsia" w:cs="Times New Roman"/>
                <w:b w:val="0"/>
                <w:bCs w:val="0"/>
                <w:color w:val="auto"/>
                <w:vertAlign w:val="baseline"/>
                <w:lang w:val="en-US" w:eastAsia="zh-CN"/>
              </w:rPr>
              <w:t>20</w:t>
            </w:r>
            <w:r>
              <w:rPr>
                <w:rFonts w:hint="eastAsia" w:ascii="Times New Roman" w:hAnsi="Times New Roman" w:eastAsia="宋体" w:cs="Times New Roman"/>
                <w:b w:val="0"/>
                <w:bCs w:val="0"/>
                <w:color w:val="auto"/>
                <w:vertAlign w:val="baseline"/>
                <w:lang w:val="en-US" w:eastAsia="zh-CN"/>
              </w:rPr>
              <w:t>分，结项；</w:t>
            </w:r>
          </w:p>
          <w:p w14:paraId="6A9FFC47">
            <w:pPr>
              <w:adjustRightInd w:val="0"/>
              <w:snapToGrid w:val="0"/>
              <w:spacing w:line="276" w:lineRule="auto"/>
              <w:rPr>
                <w:rFonts w:hint="eastAsia" w:ascii="宋体" w:hAnsi="宋体" w:eastAsia="宋体" w:cs="宋体"/>
                <w:lang w:val="en-US" w:eastAsia="zh-CN"/>
              </w:rPr>
            </w:pPr>
            <w:r>
              <w:rPr>
                <w:rFonts w:hint="eastAsia" w:ascii="Times New Roman" w:hAnsi="Times New Roman" w:eastAsia="宋体" w:cs="Times New Roman"/>
                <w:b w:val="0"/>
                <w:bCs w:val="0"/>
                <w:color w:val="auto"/>
                <w:vertAlign w:val="baseline"/>
                <w:lang w:val="en-US" w:eastAsia="zh-CN"/>
              </w:rPr>
              <w:t>6.关于公布2022年湖南省职业教育“楚怡”行动高水平教师队伍建设项目遴选结果的通知（省级），大数据技术名师工作室，排名第五，计1.5</w:t>
            </w:r>
            <w:r>
              <w:rPr>
                <w:rFonts w:hint="eastAsia" w:cs="Times New Roman"/>
                <w:b w:val="0"/>
                <w:bCs w:val="0"/>
                <w:color w:val="auto"/>
                <w:vertAlign w:val="baseline"/>
                <w:lang w:val="en-US" w:eastAsia="zh-CN"/>
              </w:rPr>
              <w:t>分</w:t>
            </w:r>
            <w:r>
              <w:rPr>
                <w:rFonts w:hint="eastAsia" w:ascii="Times New Roman" w:hAnsi="Times New Roman" w:eastAsia="宋体" w:cs="Times New Roman"/>
                <w:b w:val="0"/>
                <w:bCs w:val="0"/>
                <w:color w:val="auto"/>
                <w:vertAlign w:val="baseline"/>
                <w:lang w:val="en-US" w:eastAsia="zh-CN"/>
              </w:rPr>
              <w:t>。</w:t>
            </w:r>
          </w:p>
        </w:tc>
        <w:tc>
          <w:tcPr>
            <w:tcW w:w="1076" w:type="dxa"/>
            <w:vAlign w:val="center"/>
          </w:tcPr>
          <w:p w14:paraId="765863EB">
            <w:pPr>
              <w:adjustRightInd w:val="0"/>
              <w:snapToGrid w:val="0"/>
              <w:spacing w:line="276" w:lineRule="auto"/>
              <w:jc w:val="center"/>
              <w:rPr>
                <w:rFonts w:hint="default" w:eastAsia="宋体"/>
                <w:szCs w:val="21"/>
                <w:lang w:val="en-US" w:eastAsia="zh-CN"/>
              </w:rPr>
            </w:pPr>
            <w:r>
              <w:rPr>
                <w:rFonts w:hint="eastAsia"/>
                <w:szCs w:val="21"/>
                <w:lang w:val="en-US" w:eastAsia="zh-CN"/>
              </w:rPr>
              <w:t>181.5</w:t>
            </w:r>
          </w:p>
        </w:tc>
        <w:tc>
          <w:tcPr>
            <w:tcW w:w="1274" w:type="dxa"/>
            <w:vAlign w:val="center"/>
          </w:tcPr>
          <w:p w14:paraId="459C88D4">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w:t>
            </w:r>
          </w:p>
        </w:tc>
        <w:tc>
          <w:tcPr>
            <w:tcW w:w="2331" w:type="dxa"/>
            <w:vAlign w:val="center"/>
          </w:tcPr>
          <w:p w14:paraId="376DFB43">
            <w:pPr>
              <w:adjustRightInd w:val="0"/>
              <w:snapToGrid w:val="0"/>
              <w:spacing w:line="276" w:lineRule="auto"/>
              <w:jc w:val="both"/>
              <w:rPr>
                <w:rFonts w:hint="eastAsia"/>
                <w:color w:val="A6A6A6" w:themeColor="background1" w:themeShade="A6"/>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0B0E4D81">
            <w:pPr>
              <w:adjustRightInd w:val="0"/>
              <w:snapToGrid w:val="0"/>
              <w:spacing w:line="276" w:lineRule="auto"/>
              <w:jc w:val="center"/>
              <w:rPr>
                <w:b/>
                <w:szCs w:val="21"/>
              </w:rPr>
            </w:pPr>
          </w:p>
        </w:tc>
        <w:tc>
          <w:tcPr>
            <w:tcW w:w="1206" w:type="dxa"/>
            <w:vAlign w:val="center"/>
          </w:tcPr>
          <w:p w14:paraId="63A71D2D">
            <w:pPr>
              <w:adjustRightInd w:val="0"/>
              <w:snapToGrid w:val="0"/>
              <w:spacing w:line="276" w:lineRule="auto"/>
              <w:jc w:val="center"/>
              <w:rPr>
                <w:rFonts w:hint="eastAsia"/>
                <w:szCs w:val="21"/>
                <w:lang w:val="en-US" w:eastAsia="zh-CN"/>
              </w:rPr>
            </w:pPr>
            <w:r>
              <w:rPr>
                <w:rFonts w:hint="eastAsia"/>
                <w:szCs w:val="21"/>
              </w:rPr>
              <w:t>3-4</w:t>
            </w:r>
            <w:r>
              <w:rPr>
                <w:rFonts w:hint="eastAsia"/>
                <w:szCs w:val="21"/>
                <w:lang w:val="en-US" w:eastAsia="zh-CN"/>
              </w:rPr>
              <w:t>-8</w:t>
            </w:r>
          </w:p>
          <w:p w14:paraId="497C7E2E">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满分3分）</w:t>
            </w:r>
          </w:p>
        </w:tc>
        <w:tc>
          <w:tcPr>
            <w:tcW w:w="14617" w:type="dxa"/>
            <w:gridSpan w:val="10"/>
            <w:vAlign w:val="center"/>
          </w:tcPr>
          <w:p w14:paraId="564ED9C6">
            <w:pPr>
              <w:adjustRightInd w:val="0"/>
              <w:snapToGrid w:val="0"/>
              <w:spacing w:line="276" w:lineRule="auto"/>
              <w:rPr>
                <w:rFonts w:hint="eastAsia"/>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担任系、教研室、实验室主任情况</w:t>
            </w:r>
            <w:r>
              <w:rPr>
                <w:rFonts w:hint="eastAsia"/>
                <w:color w:val="4F81BD" w:themeColor="accent1"/>
                <w:szCs w:val="21"/>
                <w:lang w:val="en-US" w:eastAsia="zh-CN"/>
                <w14:textFill>
                  <w14:solidFill>
                    <w14:schemeClr w14:val="accent1"/>
                  </w14:solidFill>
                </w14:textFill>
              </w:rPr>
              <w:t>：</w:t>
            </w:r>
            <w:r>
              <w:rPr>
                <w:rFonts w:hint="eastAsia"/>
                <w:b w:val="0"/>
                <w:bCs w:val="0"/>
                <w:color w:val="auto"/>
                <w:vertAlign w:val="baseline"/>
                <w:lang w:val="en-US" w:eastAsia="zh-CN"/>
              </w:rPr>
              <w:t>无</w:t>
            </w:r>
          </w:p>
        </w:tc>
        <w:tc>
          <w:tcPr>
            <w:tcW w:w="1076" w:type="dxa"/>
            <w:vAlign w:val="center"/>
          </w:tcPr>
          <w:p w14:paraId="5B13E1A4">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EE7D1E7">
            <w:pPr>
              <w:adjustRightInd w:val="0"/>
              <w:snapToGrid w:val="0"/>
              <w:spacing w:line="276" w:lineRule="auto"/>
              <w:jc w:val="center"/>
              <w:rPr>
                <w:rFonts w:hint="eastAsia"/>
                <w:color w:val="A6A6A6" w:themeColor="background1" w:themeShade="A6"/>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szCs w:val="21"/>
              </w:rPr>
            </w:pPr>
          </w:p>
        </w:tc>
        <w:tc>
          <w:tcPr>
            <w:tcW w:w="1206" w:type="dxa"/>
            <w:vAlign w:val="center"/>
          </w:tcPr>
          <w:p w14:paraId="0F3283B4">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617" w:type="dxa"/>
            <w:gridSpan w:val="10"/>
            <w:vAlign w:val="center"/>
          </w:tcPr>
          <w:p w14:paraId="6E395D9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教材编写情况</w:t>
            </w:r>
          </w:p>
          <w:p w14:paraId="6D073921">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1.主编：陆燕，刘艳，银奕淇，基于工作过程-Camtasia Studio视频制作技术，西北工业大学出版社，（省级优秀教材），计40分</w:t>
            </w:r>
          </w:p>
          <w:p w14:paraId="4CF3AC14">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2.主编：邓向荣，副主编：闫军礼，银奕淇等，大学生职业生涯规划与就业创业指导，北京邮电大学出版社，（省级特色教材）。计2分</w:t>
            </w:r>
          </w:p>
          <w:p w14:paraId="2F1FE446">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color w:val="000000" w:themeColor="text1"/>
                <w:szCs w:val="21"/>
                <w:lang w:val="en-US" w:eastAsia="zh-CN"/>
                <w14:textFill>
                  <w14:solidFill>
                    <w14:schemeClr w14:val="tx1"/>
                  </w14:solidFill>
                </w14:textFill>
              </w:rPr>
            </w:pPr>
            <w:r>
              <w:rPr>
                <w:rFonts w:hint="eastAsia" w:ascii="宋体" w:hAnsi="宋体" w:eastAsia="宋体" w:cs="宋体"/>
                <w:lang w:val="en-US" w:eastAsia="zh-CN"/>
              </w:rPr>
              <w:t>3.主编：刘艳、马萌，曹清清，副主编：刘芳，银奕淇等，信息技术应用基础工作手册式教材，湘潭大学出版社，2021，参编，（校级规划教材）。计1分</w:t>
            </w:r>
          </w:p>
        </w:tc>
        <w:tc>
          <w:tcPr>
            <w:tcW w:w="1076" w:type="dxa"/>
            <w:vAlign w:val="center"/>
          </w:tcPr>
          <w:p w14:paraId="04098A96">
            <w:pPr>
              <w:adjustRightInd w:val="0"/>
              <w:snapToGrid w:val="0"/>
              <w:spacing w:line="276" w:lineRule="auto"/>
              <w:jc w:val="center"/>
              <w:rPr>
                <w:rFonts w:hint="default" w:eastAsia="宋体"/>
                <w:szCs w:val="21"/>
                <w:lang w:val="en-US" w:eastAsia="zh-CN"/>
              </w:rPr>
            </w:pPr>
            <w:r>
              <w:rPr>
                <w:rFonts w:hint="eastAsia"/>
                <w:szCs w:val="21"/>
                <w:lang w:val="en-US" w:eastAsia="zh-CN"/>
              </w:rPr>
              <w:t>43</w:t>
            </w: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2CD9768D">
            <w:pPr>
              <w:adjustRightInd w:val="0"/>
              <w:snapToGrid w:val="0"/>
              <w:spacing w:line="276" w:lineRule="auto"/>
              <w:jc w:val="center"/>
              <w:rPr>
                <w:rFonts w:hint="eastAsia"/>
                <w:color w:val="A6A6A6" w:themeColor="background1" w:themeShade="A6"/>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206" w:type="dxa"/>
            <w:vAlign w:val="center"/>
          </w:tcPr>
          <w:p w14:paraId="5A4C7E15">
            <w:pPr>
              <w:adjustRightInd w:val="0"/>
              <w:snapToGrid w:val="0"/>
              <w:spacing w:line="276" w:lineRule="auto"/>
              <w:jc w:val="center"/>
              <w:rPr>
                <w:rFonts w:hint="eastAsia"/>
                <w:szCs w:val="21"/>
                <w:lang w:val="en-US" w:eastAsia="zh-CN"/>
              </w:rPr>
            </w:pPr>
            <w:r>
              <w:rPr>
                <w:rFonts w:hint="eastAsia"/>
                <w:szCs w:val="21"/>
                <w:lang w:val="en-US" w:eastAsia="zh-CN"/>
              </w:rPr>
              <w:t>3-5</w:t>
            </w:r>
          </w:p>
          <w:p w14:paraId="5E8F1590">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617" w:type="dxa"/>
            <w:gridSpan w:val="10"/>
            <w:vAlign w:val="center"/>
          </w:tcPr>
          <w:p w14:paraId="413B0A08">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教学成果奖情况</w:t>
            </w:r>
          </w:p>
          <w:p w14:paraId="15F421F0">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color w:val="000000" w:themeColor="text1"/>
                <w:szCs w:val="21"/>
                <w14:textFill>
                  <w14:solidFill>
                    <w14:schemeClr w14:val="tx1"/>
                  </w14:solidFill>
                </w14:textFill>
              </w:rPr>
              <w:t>获奖时间</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奖项等级</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完成人名次</w:t>
            </w:r>
            <w:r>
              <w:rPr>
                <w:rFonts w:hint="eastAsia"/>
                <w:color w:val="000000" w:themeColor="text1"/>
                <w:szCs w:val="21"/>
                <w:lang w:val="en-US" w:eastAsia="zh-CN"/>
                <w14:textFill>
                  <w14:solidFill>
                    <w14:schemeClr w14:val="tx1"/>
                  </w14:solidFill>
                </w14:textFill>
              </w:rPr>
              <w:t>+计分</w:t>
            </w:r>
            <w:r>
              <w:rPr>
                <w:rFonts w:hint="eastAsia"/>
                <w:color w:val="000000" w:themeColor="text1"/>
                <w:szCs w:val="21"/>
                <w14:textFill>
                  <w14:solidFill>
                    <w14:schemeClr w14:val="tx1"/>
                  </w14:solidFill>
                </w14:textFill>
              </w:rPr>
              <w:t>。</w:t>
            </w:r>
          </w:p>
          <w:p w14:paraId="45A1486F">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lang w:val="en-US" w:eastAsia="zh-CN"/>
              </w:rPr>
            </w:pPr>
            <w:r>
              <w:rPr>
                <w:rFonts w:hint="eastAsia" w:ascii="宋体" w:hAnsi="宋体" w:eastAsia="宋体" w:cs="宋体"/>
                <w:lang w:val="en-US" w:eastAsia="zh-CN"/>
              </w:rPr>
              <w:t>1.2021年，湖南省职业教育省级教学成果奖三等奖，排名第一，计80分；</w:t>
            </w:r>
          </w:p>
          <w:p w14:paraId="49B6E320">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2.2017年，湖南省职业教育省级教学成果奖三等奖，排名第一，计80分；</w:t>
            </w:r>
          </w:p>
          <w:p w14:paraId="6EF7EE28">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cs="宋体"/>
                <w:lang w:val="en-US" w:eastAsia="zh-CN"/>
              </w:rPr>
              <w:t>3</w:t>
            </w:r>
            <w:r>
              <w:rPr>
                <w:rFonts w:hint="eastAsia" w:ascii="宋体" w:hAnsi="宋体" w:eastAsia="宋体" w:cs="宋体"/>
                <w:lang w:val="en-US" w:eastAsia="zh-CN"/>
              </w:rPr>
              <w:t>.</w:t>
            </w:r>
            <w:r>
              <w:rPr>
                <w:rFonts w:hint="eastAsia" w:ascii="宋体" w:hAnsi="宋体" w:cs="宋体"/>
                <w:lang w:val="en-US" w:eastAsia="zh-CN"/>
              </w:rPr>
              <w:t>2016年，</w:t>
            </w:r>
            <w:r>
              <w:rPr>
                <w:rFonts w:hint="eastAsia" w:ascii="宋体" w:hAnsi="宋体" w:eastAsia="宋体" w:cs="宋体"/>
                <w:lang w:val="en-US" w:eastAsia="zh-CN"/>
              </w:rPr>
              <w:t>湖南省黄炎培职业教育奖优秀理论研究奖，排名第一，计</w:t>
            </w:r>
            <w:r>
              <w:rPr>
                <w:rFonts w:hint="eastAsia" w:ascii="宋体" w:hAnsi="宋体" w:cs="宋体"/>
                <w:lang w:val="en-US" w:eastAsia="zh-CN"/>
              </w:rPr>
              <w:t>150</w:t>
            </w:r>
            <w:r>
              <w:rPr>
                <w:rFonts w:hint="eastAsia" w:ascii="宋体" w:hAnsi="宋体" w:eastAsia="宋体" w:cs="宋体"/>
                <w:lang w:val="en-US" w:eastAsia="zh-CN"/>
              </w:rPr>
              <w:t>分；</w:t>
            </w:r>
          </w:p>
          <w:p w14:paraId="0FE06413">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lang w:val="en-US" w:eastAsia="zh-CN"/>
              </w:rPr>
            </w:pPr>
            <w:r>
              <w:rPr>
                <w:rFonts w:hint="eastAsia" w:ascii="宋体" w:hAnsi="宋体" w:eastAsia="宋体" w:cs="宋体"/>
                <w:lang w:val="en-US" w:eastAsia="zh-CN"/>
              </w:rPr>
              <w:t>4.2013年，湖南省第十届高等教育省级教学成果奖三等奖，排名第一，计80分；</w:t>
            </w:r>
          </w:p>
          <w:p w14:paraId="34645D4D">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lang w:val="en-US" w:eastAsia="zh-CN"/>
              </w:rPr>
            </w:pPr>
            <w:r>
              <w:rPr>
                <w:rFonts w:hint="eastAsia" w:ascii="宋体" w:hAnsi="宋体" w:eastAsia="宋体" w:cs="宋体"/>
                <w:lang w:val="en-US" w:eastAsia="zh-CN"/>
              </w:rPr>
              <w:t>5.2017年，湖南广播电视大学职业教育教学成果奖一等奖，排名第一，计10分</w:t>
            </w:r>
            <w:r>
              <w:rPr>
                <w:rFonts w:hint="eastAsia" w:ascii="宋体" w:hAnsi="宋体" w:cs="宋体"/>
                <w:lang w:val="en-US" w:eastAsia="zh-CN"/>
              </w:rPr>
              <w:t>；</w:t>
            </w:r>
          </w:p>
          <w:p w14:paraId="381FEFBC">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cs="宋体"/>
                <w:lang w:val="en-US" w:eastAsia="zh-CN"/>
              </w:rPr>
            </w:pPr>
            <w:r>
              <w:rPr>
                <w:rFonts w:hint="eastAsia" w:ascii="宋体" w:hAnsi="宋体" w:cs="宋体"/>
                <w:lang w:val="en-US" w:eastAsia="zh-CN"/>
              </w:rPr>
              <w:t>6.2020年，湖南省职业院校线上教学优秀案例，“疫路相伴，教学相长——大数据助力线上教学管理与监测”，排名第一，计10分；</w:t>
            </w:r>
          </w:p>
          <w:p w14:paraId="6F1DDBFD">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cs="宋体"/>
                <w:lang w:val="en-US" w:eastAsia="zh-CN"/>
              </w:rPr>
            </w:pPr>
            <w:r>
              <w:rPr>
                <w:rFonts w:hint="eastAsia" w:ascii="宋体" w:hAnsi="宋体" w:cs="宋体"/>
                <w:lang w:val="en-US" w:eastAsia="zh-CN"/>
              </w:rPr>
              <w:t>7.2020年，湖南省职业院校线上教学优秀安例，“疫情下的高职《网络安全技术》三体一体虚拟实训教学模式”，排名第三，计3分。</w:t>
            </w:r>
          </w:p>
        </w:tc>
        <w:tc>
          <w:tcPr>
            <w:tcW w:w="1076" w:type="dxa"/>
            <w:vAlign w:val="center"/>
          </w:tcPr>
          <w:p w14:paraId="366429EF">
            <w:pPr>
              <w:adjustRightInd w:val="0"/>
              <w:snapToGrid w:val="0"/>
              <w:spacing w:line="276" w:lineRule="auto"/>
              <w:jc w:val="center"/>
              <w:rPr>
                <w:rFonts w:hint="default" w:eastAsia="宋体"/>
                <w:szCs w:val="21"/>
                <w:lang w:val="en-US" w:eastAsia="zh-CN"/>
              </w:rPr>
            </w:pPr>
            <w:r>
              <w:rPr>
                <w:rFonts w:hint="eastAsia"/>
                <w:szCs w:val="21"/>
                <w:lang w:val="en-US" w:eastAsia="zh-CN"/>
              </w:rPr>
              <w:t>413</w:t>
            </w:r>
          </w:p>
        </w:tc>
        <w:tc>
          <w:tcPr>
            <w:tcW w:w="1274" w:type="dxa"/>
            <w:vAlign w:val="center"/>
          </w:tcPr>
          <w:p w14:paraId="62E1324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250</w:t>
            </w:r>
          </w:p>
        </w:tc>
        <w:tc>
          <w:tcPr>
            <w:tcW w:w="2331" w:type="dxa"/>
            <w:vAlign w:val="center"/>
          </w:tcPr>
          <w:p w14:paraId="158C3AB8">
            <w:pPr>
              <w:adjustRightInd w:val="0"/>
              <w:snapToGrid w:val="0"/>
              <w:spacing w:line="276" w:lineRule="auto"/>
              <w:jc w:val="center"/>
              <w:rPr>
                <w:rFonts w:hint="default" w:eastAsia="宋体"/>
                <w:color w:val="A6A6A6" w:themeColor="background1" w:themeShade="A6"/>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rPr>
            </w:pPr>
          </w:p>
        </w:tc>
        <w:tc>
          <w:tcPr>
            <w:tcW w:w="1206" w:type="dxa"/>
            <w:vMerge w:val="restart"/>
            <w:vAlign w:val="center"/>
          </w:tcPr>
          <w:p w14:paraId="419CB715">
            <w:pPr>
              <w:adjustRightInd w:val="0"/>
              <w:snapToGrid w:val="0"/>
              <w:spacing w:line="276" w:lineRule="auto"/>
              <w:jc w:val="center"/>
              <w:rPr>
                <w:rFonts w:hint="eastAsia"/>
                <w:szCs w:val="21"/>
                <w:lang w:val="en-US" w:eastAsia="zh-CN"/>
              </w:rPr>
            </w:pPr>
            <w:r>
              <w:rPr>
                <w:rFonts w:hint="eastAsia"/>
                <w:szCs w:val="21"/>
                <w:lang w:val="en-US" w:eastAsia="zh-CN"/>
              </w:rPr>
              <w:t>3-6</w:t>
            </w:r>
          </w:p>
          <w:p w14:paraId="159289D3">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617" w:type="dxa"/>
            <w:gridSpan w:val="10"/>
            <w:vAlign w:val="center"/>
          </w:tcPr>
          <w:p w14:paraId="5B05976F">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558ED5" w:themeColor="text2" w:themeTint="99"/>
                <w:szCs w:val="21"/>
                <w14:textFill>
                  <w14:solidFill>
                    <w14:schemeClr w14:val="tx2">
                      <w14:lumMod w14:val="60000"/>
                      <w14:lumOff w14:val="40000"/>
                    </w14:schemeClr>
                  </w14:solidFill>
                </w14:textFill>
              </w:rPr>
              <w:t>3-6-1</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导学生参加政府部门主办的竞赛等</w:t>
            </w:r>
          </w:p>
          <w:p w14:paraId="7ECE495E">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1.2024年</w:t>
            </w:r>
            <w:r>
              <w:rPr>
                <w:rFonts w:hint="eastAsia" w:ascii="宋体" w:hAnsi="宋体" w:cs="宋体"/>
                <w:lang w:val="en-US" w:eastAsia="zh-CN"/>
              </w:rPr>
              <w:t>10</w:t>
            </w:r>
            <w:r>
              <w:rPr>
                <w:rFonts w:hint="eastAsia" w:ascii="宋体" w:hAnsi="宋体" w:eastAsia="宋体" w:cs="宋体"/>
                <w:lang w:val="en-US" w:eastAsia="zh-CN"/>
              </w:rPr>
              <w:t>月，世界职业院校技能大赛总决赛争夺赛银奖，李靖蕾、陈子明、周宇轩、许厚祥，教育部，第二指导教师，计20分；</w:t>
            </w:r>
          </w:p>
          <w:p w14:paraId="5CAC28EE">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2.2019年</w:t>
            </w:r>
            <w:r>
              <w:rPr>
                <w:rFonts w:hint="eastAsia" w:ascii="宋体" w:hAnsi="宋体" w:cs="宋体"/>
                <w:lang w:val="en-US" w:eastAsia="zh-CN"/>
              </w:rPr>
              <w:t>5</w:t>
            </w:r>
            <w:r>
              <w:rPr>
                <w:rFonts w:hint="eastAsia" w:ascii="宋体" w:hAnsi="宋体" w:eastAsia="宋体" w:cs="宋体"/>
                <w:lang w:val="en-US" w:eastAsia="zh-CN"/>
              </w:rPr>
              <w:t>月，指导学生获得全国职业院校技能大赛三等奖，罗日程、刘斌、马章轩，教育部，第二指导教师，计10分；</w:t>
            </w:r>
          </w:p>
          <w:p w14:paraId="783807A9">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3.202</w:t>
            </w:r>
            <w:r>
              <w:rPr>
                <w:rFonts w:hint="eastAsia" w:ascii="宋体" w:hAnsi="宋体" w:cs="宋体"/>
                <w:lang w:val="en-US" w:eastAsia="zh-CN"/>
              </w:rPr>
              <w:t>3</w:t>
            </w:r>
            <w:r>
              <w:rPr>
                <w:rFonts w:hint="eastAsia" w:ascii="宋体" w:hAnsi="宋体" w:eastAsia="宋体" w:cs="宋体"/>
                <w:lang w:val="en-US" w:eastAsia="zh-CN"/>
              </w:rPr>
              <w:t>年1</w:t>
            </w:r>
            <w:r>
              <w:rPr>
                <w:rFonts w:hint="eastAsia" w:ascii="宋体" w:hAnsi="宋体" w:cs="宋体"/>
                <w:lang w:val="en-US" w:eastAsia="zh-CN"/>
              </w:rPr>
              <w:t>1</w:t>
            </w:r>
            <w:r>
              <w:rPr>
                <w:rFonts w:hint="eastAsia" w:ascii="宋体" w:hAnsi="宋体" w:eastAsia="宋体" w:cs="宋体"/>
                <w:lang w:val="en-US" w:eastAsia="zh-CN"/>
              </w:rPr>
              <w:t>月，指导学生获得湖南省职业院校技能竞赛一等奖，刘俊、周宇轩，湖南省教育厅，第二指导教师，计8分；</w:t>
            </w:r>
          </w:p>
          <w:p w14:paraId="45B8C2A1">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4.2025年</w:t>
            </w:r>
            <w:r>
              <w:rPr>
                <w:rFonts w:hint="eastAsia" w:ascii="宋体" w:hAnsi="宋体" w:cs="宋体"/>
                <w:lang w:val="en-US" w:eastAsia="zh-CN"/>
              </w:rPr>
              <w:t>3</w:t>
            </w:r>
            <w:r>
              <w:rPr>
                <w:rFonts w:hint="eastAsia" w:ascii="宋体" w:hAnsi="宋体" w:eastAsia="宋体" w:cs="宋体"/>
                <w:lang w:val="en-US" w:eastAsia="zh-CN"/>
              </w:rPr>
              <w:t>月，指导学生获得湖南省职业院校技能竞赛三等奖，徐文彪，吴晓岳，湖南省教育厅，第二指导教师，计1分；</w:t>
            </w:r>
          </w:p>
          <w:p w14:paraId="49AA1331">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5.2024年</w:t>
            </w:r>
            <w:r>
              <w:rPr>
                <w:rFonts w:hint="eastAsia" w:ascii="宋体" w:hAnsi="宋体" w:cs="宋体"/>
                <w:lang w:val="en-US" w:eastAsia="zh-CN"/>
              </w:rPr>
              <w:t>6</w:t>
            </w:r>
            <w:r>
              <w:rPr>
                <w:rFonts w:hint="eastAsia" w:ascii="宋体" w:hAnsi="宋体" w:eastAsia="宋体" w:cs="宋体"/>
                <w:lang w:val="en-US" w:eastAsia="zh-CN"/>
              </w:rPr>
              <w:t>月，指导学生获得第十七届中国大学生计算机设计大赛中南地区赛二等奖，王玉琴、刘涛、刘鑫、彭炳涛学生，中国大学生计算机设计大赛中南地区赛组委会，第二指导教师，计3分；</w:t>
            </w:r>
          </w:p>
          <w:p w14:paraId="5610258E">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6.2025年</w:t>
            </w:r>
            <w:r>
              <w:rPr>
                <w:rFonts w:hint="eastAsia" w:ascii="宋体" w:hAnsi="宋体" w:cs="宋体"/>
                <w:lang w:val="en-US" w:eastAsia="zh-CN"/>
              </w:rPr>
              <w:t>1</w:t>
            </w:r>
            <w:r>
              <w:rPr>
                <w:rFonts w:hint="eastAsia" w:ascii="宋体" w:hAnsi="宋体" w:eastAsia="宋体" w:cs="宋体"/>
                <w:lang w:val="en-US" w:eastAsia="zh-CN"/>
              </w:rPr>
              <w:t>月，指导学生获得</w:t>
            </w:r>
            <w:r>
              <w:rPr>
                <w:rFonts w:hint="eastAsia" w:ascii="宋体" w:hAnsi="宋体" w:cs="宋体"/>
                <w:lang w:val="en-US" w:eastAsia="zh-CN"/>
              </w:rPr>
              <w:t>湖南省“双减”主题设计大赛</w:t>
            </w:r>
            <w:r>
              <w:rPr>
                <w:rFonts w:hint="eastAsia" w:ascii="宋体" w:hAnsi="宋体" w:eastAsia="宋体" w:cs="宋体"/>
                <w:lang w:val="en-US" w:eastAsia="zh-CN"/>
              </w:rPr>
              <w:t>二等奖，欧阳志强，湖南省教育厅，第一指导教师，计</w:t>
            </w:r>
            <w:r>
              <w:rPr>
                <w:rFonts w:hint="eastAsia" w:ascii="宋体" w:hAnsi="宋体" w:cs="宋体"/>
                <w:lang w:val="en-US" w:eastAsia="zh-CN"/>
              </w:rPr>
              <w:t>3</w:t>
            </w:r>
            <w:r>
              <w:rPr>
                <w:rFonts w:hint="eastAsia" w:ascii="宋体" w:hAnsi="宋体" w:eastAsia="宋体" w:cs="宋体"/>
                <w:lang w:val="en-US" w:eastAsia="zh-CN"/>
              </w:rPr>
              <w:t>分；</w:t>
            </w:r>
          </w:p>
          <w:p w14:paraId="2E1872F9">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color w:val="000000" w:themeColor="text1"/>
                <w:szCs w:val="21"/>
                <w14:textFill>
                  <w14:solidFill>
                    <w14:schemeClr w14:val="tx1"/>
                  </w14:solidFill>
                </w14:textFill>
              </w:rPr>
            </w:pPr>
            <w:r>
              <w:rPr>
                <w:rFonts w:hint="eastAsia" w:ascii="宋体" w:hAnsi="宋体" w:eastAsia="宋体" w:cs="宋体"/>
                <w:lang w:val="en-US" w:eastAsia="zh-CN"/>
              </w:rPr>
              <w:t>7.2025年</w:t>
            </w:r>
            <w:r>
              <w:rPr>
                <w:rFonts w:hint="eastAsia" w:ascii="宋体" w:hAnsi="宋体" w:cs="宋体"/>
                <w:lang w:val="en-US" w:eastAsia="zh-CN"/>
              </w:rPr>
              <w:t>1</w:t>
            </w:r>
            <w:r>
              <w:rPr>
                <w:rFonts w:hint="eastAsia" w:ascii="宋体" w:hAnsi="宋体" w:eastAsia="宋体" w:cs="宋体"/>
                <w:lang w:val="en-US" w:eastAsia="zh-CN"/>
              </w:rPr>
              <w:t>月，指导学生获得</w:t>
            </w:r>
            <w:r>
              <w:rPr>
                <w:rFonts w:hint="eastAsia" w:ascii="宋体" w:hAnsi="宋体" w:cs="宋体"/>
                <w:lang w:val="en-US" w:eastAsia="zh-CN"/>
              </w:rPr>
              <w:t>湖南省“双减”主题设计大赛</w:t>
            </w:r>
            <w:r>
              <w:rPr>
                <w:rFonts w:hint="eastAsia" w:ascii="宋体" w:hAnsi="宋体" w:eastAsia="宋体" w:cs="宋体"/>
                <w:lang w:val="en-US" w:eastAsia="zh-CN"/>
              </w:rPr>
              <w:t>三等奖，罗堃，湖南省教育厅，第一指导教师，计</w:t>
            </w:r>
            <w:r>
              <w:rPr>
                <w:rFonts w:hint="eastAsia" w:ascii="宋体" w:hAnsi="宋体" w:cs="宋体"/>
                <w:lang w:val="en-US" w:eastAsia="zh-CN"/>
              </w:rPr>
              <w:t>2</w:t>
            </w:r>
            <w:r>
              <w:rPr>
                <w:rFonts w:hint="eastAsia" w:ascii="宋体" w:hAnsi="宋体" w:eastAsia="宋体" w:cs="宋体"/>
                <w:lang w:val="en-US" w:eastAsia="zh-CN"/>
              </w:rPr>
              <w:t>分；</w:t>
            </w:r>
          </w:p>
        </w:tc>
        <w:tc>
          <w:tcPr>
            <w:tcW w:w="1076" w:type="dxa"/>
            <w:vAlign w:val="center"/>
          </w:tcPr>
          <w:p w14:paraId="15CE25DF">
            <w:pPr>
              <w:adjustRightInd w:val="0"/>
              <w:snapToGrid w:val="0"/>
              <w:spacing w:line="276" w:lineRule="auto"/>
              <w:jc w:val="center"/>
              <w:rPr>
                <w:rFonts w:hint="default" w:eastAsia="宋体"/>
                <w:szCs w:val="21"/>
                <w:lang w:val="en-US" w:eastAsia="zh-CN"/>
              </w:rPr>
            </w:pPr>
            <w:r>
              <w:rPr>
                <w:rFonts w:hint="eastAsia"/>
                <w:szCs w:val="21"/>
                <w:lang w:val="en-US" w:eastAsia="zh-CN"/>
              </w:rPr>
              <w:t>47</w:t>
            </w:r>
          </w:p>
        </w:tc>
        <w:tc>
          <w:tcPr>
            <w:tcW w:w="1274" w:type="dxa"/>
            <w:vAlign w:val="center"/>
          </w:tcPr>
          <w:p w14:paraId="3A706BB4">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47</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0CD18C73">
            <w:pPr>
              <w:adjustRightInd w:val="0"/>
              <w:snapToGrid w:val="0"/>
              <w:spacing w:line="276" w:lineRule="auto"/>
              <w:jc w:val="center"/>
              <w:rPr>
                <w:b/>
                <w:szCs w:val="21"/>
              </w:rPr>
            </w:pPr>
          </w:p>
        </w:tc>
        <w:tc>
          <w:tcPr>
            <w:tcW w:w="1206" w:type="dxa"/>
            <w:vMerge w:val="continue"/>
            <w:vAlign w:val="center"/>
          </w:tcPr>
          <w:p w14:paraId="0EC9BFDA">
            <w:pPr>
              <w:adjustRightInd w:val="0"/>
              <w:snapToGrid w:val="0"/>
              <w:spacing w:line="276" w:lineRule="auto"/>
              <w:jc w:val="center"/>
              <w:rPr>
                <w:szCs w:val="21"/>
              </w:rPr>
            </w:pPr>
          </w:p>
        </w:tc>
        <w:tc>
          <w:tcPr>
            <w:tcW w:w="14617" w:type="dxa"/>
            <w:gridSpan w:val="10"/>
            <w:vAlign w:val="center"/>
          </w:tcPr>
          <w:p w14:paraId="2278B36C">
            <w:pPr>
              <w:adjustRightInd w:val="0"/>
              <w:snapToGrid w:val="0"/>
              <w:spacing w:line="276" w:lineRule="auto"/>
              <w:rPr>
                <w:color w:val="000000" w:themeColor="text1"/>
                <w:szCs w:val="21"/>
                <w14:textFill>
                  <w14:solidFill>
                    <w14:schemeClr w14:val="tx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3-6-2</w:t>
            </w:r>
            <w:r>
              <w:rPr>
                <w:rFonts w:hint="eastAsia" w:eastAsia="宋体"/>
                <w:color w:val="4F81BD" w:themeColor="accent1"/>
                <w:szCs w:val="21"/>
                <w:lang w:val="en-US" w:eastAsia="zh-CN"/>
                <w14:textFill>
                  <w14:solidFill>
                    <w14:schemeClr w14:val="accent1"/>
                  </w14:solidFill>
                </w14:textFill>
              </w:rPr>
              <w:t>指导学生参加全国开放大学举办的竞赛等</w:t>
            </w:r>
            <w:r>
              <w:rPr>
                <w:rFonts w:hint="eastAsia"/>
                <w:color w:val="4F81BD" w:themeColor="accent1"/>
                <w:szCs w:val="21"/>
                <w:lang w:val="en-US" w:eastAsia="zh-CN"/>
                <w14:textFill>
                  <w14:solidFill>
                    <w14:schemeClr w14:val="accent1"/>
                  </w14:solidFill>
                </w14:textFill>
              </w:rPr>
              <w:t>：</w:t>
            </w:r>
            <w:r>
              <w:rPr>
                <w:rFonts w:hint="eastAsia"/>
                <w:b w:val="0"/>
                <w:bCs w:val="0"/>
                <w:color w:val="auto"/>
                <w:vertAlign w:val="baseline"/>
                <w:lang w:val="en-US" w:eastAsia="zh-CN"/>
              </w:rPr>
              <w:t>无</w:t>
            </w:r>
          </w:p>
        </w:tc>
        <w:tc>
          <w:tcPr>
            <w:tcW w:w="1076" w:type="dxa"/>
            <w:vAlign w:val="center"/>
          </w:tcPr>
          <w:p w14:paraId="45C5967A">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4AF7D7B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FA834C6">
            <w:pPr>
              <w:adjustRightInd w:val="0"/>
              <w:snapToGrid w:val="0"/>
              <w:spacing w:line="276" w:lineRule="auto"/>
              <w:jc w:val="center"/>
              <w:rPr>
                <w:rFonts w:hint="eastAsia" w:eastAsia="宋体"/>
                <w:color w:val="A6A6A6" w:themeColor="background1" w:themeShade="A6"/>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52771B0F">
            <w:pPr>
              <w:adjustRightInd w:val="0"/>
              <w:snapToGrid w:val="0"/>
              <w:spacing w:line="276" w:lineRule="auto"/>
              <w:jc w:val="center"/>
              <w:rPr>
                <w:b/>
                <w:szCs w:val="21"/>
              </w:rPr>
            </w:pPr>
          </w:p>
        </w:tc>
        <w:tc>
          <w:tcPr>
            <w:tcW w:w="1206" w:type="dxa"/>
            <w:vMerge w:val="continue"/>
            <w:vAlign w:val="center"/>
          </w:tcPr>
          <w:p w14:paraId="2E2EFC13">
            <w:pPr>
              <w:adjustRightInd w:val="0"/>
              <w:snapToGrid w:val="0"/>
              <w:spacing w:line="276" w:lineRule="auto"/>
              <w:jc w:val="center"/>
              <w:rPr>
                <w:rFonts w:hint="eastAsia"/>
                <w:szCs w:val="21"/>
              </w:rPr>
            </w:pPr>
          </w:p>
        </w:tc>
        <w:tc>
          <w:tcPr>
            <w:tcW w:w="14617" w:type="dxa"/>
            <w:gridSpan w:val="10"/>
            <w:vAlign w:val="center"/>
          </w:tcPr>
          <w:p w14:paraId="63FBFA4D">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3-6-3</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导学生参加创新创业训练计划等项目</w:t>
            </w:r>
            <w:r>
              <w:rPr>
                <w:rFonts w:hint="eastAsia"/>
                <w:color w:val="4F81BD" w:themeColor="accent1"/>
                <w:szCs w:val="21"/>
                <w:lang w:val="en-US" w:eastAsia="zh-CN"/>
                <w14:textFill>
                  <w14:solidFill>
                    <w14:schemeClr w14:val="accent1"/>
                  </w14:solidFill>
                </w14:textFill>
              </w:rPr>
              <w:t>：</w:t>
            </w:r>
            <w:r>
              <w:rPr>
                <w:rFonts w:hint="eastAsia"/>
                <w:b w:val="0"/>
                <w:bCs w:val="0"/>
                <w:color w:val="auto"/>
                <w:vertAlign w:val="baseline"/>
                <w:lang w:val="en-US" w:eastAsia="zh-CN"/>
              </w:rPr>
              <w:t>无</w:t>
            </w:r>
          </w:p>
        </w:tc>
        <w:tc>
          <w:tcPr>
            <w:tcW w:w="1076" w:type="dxa"/>
            <w:vAlign w:val="center"/>
          </w:tcPr>
          <w:p w14:paraId="39227B63">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adjustRightInd w:val="0"/>
              <w:snapToGrid w:val="0"/>
              <w:spacing w:line="276" w:lineRule="auto"/>
              <w:jc w:val="center"/>
              <w:rPr>
                <w:rFonts w:hint="eastAsia"/>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761F93F3">
            <w:pPr>
              <w:adjustRightInd w:val="0"/>
              <w:snapToGrid w:val="0"/>
              <w:spacing w:line="276" w:lineRule="auto"/>
              <w:jc w:val="center"/>
              <w:rPr>
                <w:b/>
                <w:szCs w:val="21"/>
              </w:rPr>
            </w:pPr>
          </w:p>
        </w:tc>
        <w:tc>
          <w:tcPr>
            <w:tcW w:w="1206" w:type="dxa"/>
            <w:vMerge w:val="continue"/>
            <w:vAlign w:val="center"/>
          </w:tcPr>
          <w:p w14:paraId="40D3FD72">
            <w:pPr>
              <w:adjustRightInd w:val="0"/>
              <w:snapToGrid w:val="0"/>
              <w:spacing w:line="276" w:lineRule="auto"/>
              <w:jc w:val="center"/>
              <w:rPr>
                <w:rFonts w:hint="eastAsia" w:eastAsia="宋体"/>
                <w:szCs w:val="21"/>
                <w:lang w:val="en-US" w:eastAsia="zh-CN"/>
              </w:rPr>
            </w:pPr>
          </w:p>
        </w:tc>
        <w:tc>
          <w:tcPr>
            <w:tcW w:w="14617" w:type="dxa"/>
            <w:gridSpan w:val="10"/>
            <w:vAlign w:val="center"/>
          </w:tcPr>
          <w:p w14:paraId="012DCCF1">
            <w:pPr>
              <w:adjustRightInd w:val="0"/>
              <w:snapToGrid w:val="0"/>
              <w:spacing w:line="276" w:lineRule="auto"/>
              <w:rPr>
                <w:color w:val="000000" w:themeColor="text1"/>
                <w:szCs w:val="21"/>
                <w14:textFill>
                  <w14:solidFill>
                    <w14:schemeClr w14:val="tx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w:t>
            </w:r>
            <w:r>
              <w:rPr>
                <w:rFonts w:hint="eastAsia" w:eastAsia="宋体"/>
                <w:color w:val="558ED5" w:themeColor="text2" w:themeTint="99"/>
                <w:szCs w:val="21"/>
                <w:lang w:val="en-US" w:eastAsia="zh-CN"/>
                <w14:textFill>
                  <w14:solidFill>
                    <w14:schemeClr w14:val="tx2">
                      <w14:lumMod w14:val="60000"/>
                      <w14:lumOff w14:val="40000"/>
                    </w14:schemeClr>
                  </w14:solidFill>
                </w14:textFill>
              </w:rPr>
              <w:t>4</w:t>
            </w:r>
            <w:r>
              <w:rPr>
                <w:rFonts w:hint="eastAsia" w:eastAsia="宋体"/>
                <w:color w:val="4F81BD" w:themeColor="accent1"/>
                <w:szCs w:val="21"/>
                <w:lang w:val="en-US" w:eastAsia="zh-CN"/>
                <w14:textFill>
                  <w14:solidFill>
                    <w14:schemeClr w14:val="accent1"/>
                  </w14:solidFill>
                </w14:textFill>
              </w:rPr>
              <w:t>体育学科指导学生参加比赛</w:t>
            </w:r>
            <w:r>
              <w:rPr>
                <w:rFonts w:hint="eastAsia"/>
                <w:color w:val="4F81BD" w:themeColor="accent1"/>
                <w:szCs w:val="21"/>
                <w:lang w:val="en-US" w:eastAsia="zh-CN"/>
                <w14:textFill>
                  <w14:solidFill>
                    <w14:schemeClr w14:val="accent1"/>
                  </w14:solidFill>
                </w14:textFill>
              </w:rPr>
              <w:t>：</w:t>
            </w:r>
            <w:r>
              <w:rPr>
                <w:rFonts w:hint="eastAsia"/>
                <w:b w:val="0"/>
                <w:bCs w:val="0"/>
                <w:color w:val="auto"/>
                <w:vertAlign w:val="baseline"/>
                <w:lang w:val="en-US" w:eastAsia="zh-CN"/>
              </w:rPr>
              <w:t>无</w:t>
            </w:r>
          </w:p>
        </w:tc>
        <w:tc>
          <w:tcPr>
            <w:tcW w:w="1076" w:type="dxa"/>
            <w:vAlign w:val="center"/>
          </w:tcPr>
          <w:p w14:paraId="67755DF1">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58A3BA95">
            <w:pPr>
              <w:adjustRightInd w:val="0"/>
              <w:snapToGrid w:val="0"/>
              <w:spacing w:line="276" w:lineRule="auto"/>
              <w:jc w:val="center"/>
              <w:rPr>
                <w:b/>
                <w:szCs w:val="21"/>
              </w:rPr>
            </w:pPr>
          </w:p>
        </w:tc>
        <w:tc>
          <w:tcPr>
            <w:tcW w:w="1206" w:type="dxa"/>
            <w:vAlign w:val="center"/>
          </w:tcPr>
          <w:p w14:paraId="66F924DF">
            <w:pPr>
              <w:adjustRightInd w:val="0"/>
              <w:snapToGrid w:val="0"/>
              <w:spacing w:line="276" w:lineRule="auto"/>
              <w:jc w:val="center"/>
              <w:rPr>
                <w:szCs w:val="21"/>
              </w:rPr>
            </w:pPr>
            <w:r>
              <w:rPr>
                <w:rFonts w:hint="eastAsia"/>
                <w:szCs w:val="21"/>
              </w:rPr>
              <w:t>3-7</w:t>
            </w:r>
          </w:p>
        </w:tc>
        <w:tc>
          <w:tcPr>
            <w:tcW w:w="14617"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教案由专家现场评审，此项不需自评。</w:t>
            </w:r>
          </w:p>
        </w:tc>
        <w:tc>
          <w:tcPr>
            <w:tcW w:w="1076" w:type="dxa"/>
            <w:vAlign w:val="center"/>
          </w:tcPr>
          <w:p w14:paraId="47AE67E0">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tcBorders>
              <w:left w:val="single" w:color="auto" w:sz="4" w:space="0"/>
            </w:tcBorders>
            <w:vAlign w:val="center"/>
          </w:tcPr>
          <w:p w14:paraId="44C2615B">
            <w:pPr>
              <w:adjustRightInd w:val="0"/>
              <w:snapToGrid w:val="0"/>
              <w:spacing w:line="276" w:lineRule="auto"/>
              <w:jc w:val="center"/>
              <w:rPr>
                <w:b/>
                <w:szCs w:val="21"/>
              </w:rPr>
            </w:pPr>
            <w:r>
              <w:rPr>
                <w:rFonts w:hint="eastAsia"/>
                <w:b/>
                <w:szCs w:val="21"/>
              </w:rPr>
              <w:t>4.科研成果及业绩</w:t>
            </w:r>
          </w:p>
        </w:tc>
        <w:tc>
          <w:tcPr>
            <w:tcW w:w="1206" w:type="dxa"/>
            <w:vAlign w:val="center"/>
          </w:tcPr>
          <w:p w14:paraId="62D5468F">
            <w:pPr>
              <w:adjustRightInd w:val="0"/>
              <w:snapToGrid w:val="0"/>
              <w:spacing w:line="276" w:lineRule="auto"/>
              <w:jc w:val="center"/>
              <w:rPr>
                <w:rFonts w:hint="eastAsia"/>
                <w:szCs w:val="21"/>
              </w:rPr>
            </w:pPr>
            <w:r>
              <w:rPr>
                <w:rFonts w:hint="eastAsia"/>
                <w:szCs w:val="21"/>
              </w:rPr>
              <w:t>4-1</w:t>
            </w:r>
          </w:p>
          <w:p w14:paraId="33A03636">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617" w:type="dxa"/>
            <w:gridSpan w:val="10"/>
            <w:vAlign w:val="center"/>
          </w:tcPr>
          <w:p w14:paraId="1C657129">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学术期刊论文</w:t>
            </w:r>
            <w:r>
              <w:rPr>
                <w:color w:val="558ED5" w:themeColor="text2" w:themeTint="99"/>
                <w:szCs w:val="21"/>
                <w14:textFill>
                  <w14:solidFill>
                    <w14:schemeClr w14:val="tx2">
                      <w14:lumMod w14:val="60000"/>
                      <w14:lumOff w14:val="40000"/>
                    </w14:schemeClr>
                  </w14:solidFill>
                </w14:textFill>
              </w:rPr>
              <w:t>（</w:t>
            </w:r>
            <w:r>
              <w:rPr>
                <w:rFonts w:hint="eastAsia"/>
                <w:color w:val="auto"/>
                <w:szCs w:val="21"/>
              </w:rPr>
              <w:t>请按量化计分细则论文分类填写）：</w:t>
            </w:r>
          </w:p>
          <w:p w14:paraId="5DC07427">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1</w:t>
            </w:r>
            <w:r>
              <w:rPr>
                <w:rFonts w:hint="eastAsia" w:ascii="宋体" w:hAnsi="宋体" w:cs="宋体"/>
                <w:lang w:val="en-US" w:eastAsia="zh-CN"/>
              </w:rPr>
              <w:t>.</w:t>
            </w:r>
            <w:r>
              <w:rPr>
                <w:rFonts w:hint="eastAsia" w:ascii="宋体" w:hAnsi="宋体" w:eastAsia="宋体" w:cs="宋体"/>
                <w:lang w:val="en-US" w:eastAsia="zh-CN"/>
              </w:rPr>
              <w:t>朱新洲,银奕淇.高等职业教育集团化办学可持续发展研究</w:t>
            </w:r>
            <w:r>
              <w:rPr>
                <w:rFonts w:hint="eastAsia" w:ascii="宋体" w:hAnsi="宋体" w:cs="宋体"/>
                <w:lang w:val="en-US" w:eastAsia="zh-CN"/>
              </w:rPr>
              <w:t>[J]</w:t>
            </w:r>
            <w:r>
              <w:rPr>
                <w:rFonts w:hint="eastAsia" w:ascii="宋体" w:hAnsi="宋体" w:eastAsia="宋体" w:cs="宋体"/>
                <w:lang w:val="en-US" w:eastAsia="zh-CN"/>
              </w:rPr>
              <w:t>湖南社会科学,2014,(04):243-246.（CSSCI来源期刊，通讯作者）计70分；</w:t>
            </w:r>
          </w:p>
          <w:p w14:paraId="7308AE72">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2</w:t>
            </w:r>
            <w:r>
              <w:rPr>
                <w:rFonts w:hint="eastAsia" w:ascii="宋体" w:hAnsi="宋体" w:cs="宋体"/>
                <w:lang w:val="en-US" w:eastAsia="zh-CN"/>
              </w:rPr>
              <w:t>.</w:t>
            </w:r>
            <w:r>
              <w:rPr>
                <w:rFonts w:hint="eastAsia" w:ascii="宋体" w:hAnsi="宋体" w:eastAsia="宋体" w:cs="宋体"/>
                <w:lang w:val="en-US" w:eastAsia="zh-CN"/>
              </w:rPr>
              <w:t>银奕淇,郭文斌,刘彦奇.高等学历继续教育高质量发展的内在逻辑、实践指向与行动策略</w:t>
            </w:r>
            <w:r>
              <w:rPr>
                <w:rFonts w:hint="eastAsia" w:ascii="宋体" w:hAnsi="宋体" w:cs="宋体"/>
                <w:lang w:val="en-US" w:eastAsia="zh-CN"/>
              </w:rPr>
              <w:t>[J]</w:t>
            </w:r>
            <w:r>
              <w:rPr>
                <w:rFonts w:hint="eastAsia" w:ascii="宋体" w:hAnsi="宋体" w:eastAsia="宋体" w:cs="宋体"/>
                <w:lang w:val="en-US" w:eastAsia="zh-CN"/>
              </w:rPr>
              <w:t>教育与职业,2024,(03):83-90.（北大中文核心）计28分；</w:t>
            </w:r>
          </w:p>
          <w:p w14:paraId="06483DA1">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3</w:t>
            </w:r>
            <w:r>
              <w:rPr>
                <w:rFonts w:hint="eastAsia" w:ascii="宋体" w:hAnsi="宋体" w:cs="宋体"/>
                <w:lang w:val="en-US" w:eastAsia="zh-CN"/>
              </w:rPr>
              <w:t>.</w:t>
            </w:r>
            <w:r>
              <w:rPr>
                <w:rFonts w:hint="eastAsia" w:ascii="宋体" w:hAnsi="宋体" w:eastAsia="宋体" w:cs="宋体"/>
                <w:lang w:val="en-US" w:eastAsia="zh-CN"/>
              </w:rPr>
              <w:t>银奕淇,李梓铭,欧迪巧.宪法视角下混合所有制职业院校改革的思考</w:t>
            </w:r>
            <w:r>
              <w:rPr>
                <w:rFonts w:hint="eastAsia" w:ascii="宋体" w:hAnsi="宋体" w:cs="宋体"/>
                <w:lang w:val="en-US" w:eastAsia="zh-CN"/>
              </w:rPr>
              <w:t>[J]</w:t>
            </w:r>
            <w:r>
              <w:rPr>
                <w:rFonts w:hint="eastAsia" w:ascii="宋体" w:hAnsi="宋体" w:eastAsia="宋体" w:cs="宋体"/>
                <w:lang w:val="en-US" w:eastAsia="zh-CN"/>
              </w:rPr>
              <w:t>教育与职业,2020,(08):13-19.（北大中文核心）计28分；</w:t>
            </w:r>
          </w:p>
          <w:p w14:paraId="72DB803C">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4</w:t>
            </w:r>
            <w:r>
              <w:rPr>
                <w:rFonts w:hint="eastAsia" w:ascii="宋体" w:hAnsi="宋体" w:cs="宋体"/>
                <w:lang w:val="en-US" w:eastAsia="zh-CN"/>
              </w:rPr>
              <w:t>.</w:t>
            </w:r>
            <w:r>
              <w:rPr>
                <w:rFonts w:hint="eastAsia" w:ascii="宋体" w:hAnsi="宋体" w:eastAsia="宋体" w:cs="宋体"/>
                <w:lang w:val="en-US" w:eastAsia="zh-CN"/>
              </w:rPr>
              <w:t>银奕淇,欧迪巧,欧长贵.株洲市职教集团与产业集群协同发展研究</w:t>
            </w:r>
            <w:r>
              <w:rPr>
                <w:rFonts w:hint="eastAsia" w:ascii="宋体" w:hAnsi="宋体" w:cs="宋体"/>
                <w:lang w:val="en-US" w:eastAsia="zh-CN"/>
              </w:rPr>
              <w:t>[J]</w:t>
            </w:r>
            <w:r>
              <w:rPr>
                <w:rFonts w:hint="eastAsia" w:ascii="宋体" w:hAnsi="宋体" w:eastAsia="宋体" w:cs="宋体"/>
                <w:lang w:val="en-US" w:eastAsia="zh-CN"/>
              </w:rPr>
              <w:t>教育与职业,2018,(14):56-59.（北大中文核心）计28分；</w:t>
            </w:r>
          </w:p>
          <w:p w14:paraId="0113AD70">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5</w:t>
            </w:r>
            <w:r>
              <w:rPr>
                <w:rFonts w:hint="eastAsia" w:ascii="宋体" w:hAnsi="宋体" w:cs="宋体"/>
                <w:lang w:val="en-US" w:eastAsia="zh-CN"/>
              </w:rPr>
              <w:t>.</w:t>
            </w:r>
            <w:r>
              <w:rPr>
                <w:rFonts w:hint="eastAsia" w:ascii="宋体" w:hAnsi="宋体" w:eastAsia="宋体" w:cs="宋体"/>
                <w:lang w:val="en-US" w:eastAsia="zh-CN"/>
              </w:rPr>
              <w:t>欧长贵,银奕淇.区域职业教育集团建设与发展策略——以株洲市为例</w:t>
            </w:r>
            <w:r>
              <w:rPr>
                <w:rFonts w:hint="eastAsia" w:ascii="宋体" w:hAnsi="宋体" w:cs="宋体"/>
                <w:lang w:val="en-US" w:eastAsia="zh-CN"/>
              </w:rPr>
              <w:t>[J]</w:t>
            </w:r>
            <w:r>
              <w:rPr>
                <w:rFonts w:hint="eastAsia" w:ascii="宋体" w:hAnsi="宋体" w:eastAsia="宋体" w:cs="宋体"/>
                <w:lang w:val="en-US" w:eastAsia="zh-CN"/>
              </w:rPr>
              <w:t>职业技术教育,2017,38(32):25-27.（北大中文核心）计12分；</w:t>
            </w:r>
          </w:p>
          <w:p w14:paraId="0CFD3833">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6</w:t>
            </w:r>
            <w:r>
              <w:rPr>
                <w:rFonts w:hint="eastAsia" w:ascii="宋体" w:hAnsi="宋体" w:cs="宋体"/>
                <w:lang w:val="en-US" w:eastAsia="zh-CN"/>
              </w:rPr>
              <w:t>.</w:t>
            </w:r>
            <w:r>
              <w:rPr>
                <w:rFonts w:hint="eastAsia" w:ascii="宋体" w:hAnsi="宋体" w:eastAsia="宋体" w:cs="宋体"/>
                <w:lang w:val="en-US" w:eastAsia="zh-CN"/>
              </w:rPr>
              <w:t>银奕淇.高职教育赋能新质生产力发展的现实挑战与行动路径</w:t>
            </w:r>
            <w:r>
              <w:rPr>
                <w:rFonts w:hint="eastAsia" w:ascii="宋体" w:hAnsi="宋体" w:cs="宋体"/>
                <w:lang w:val="en-US" w:eastAsia="zh-CN"/>
              </w:rPr>
              <w:t>[J]</w:t>
            </w:r>
            <w:r>
              <w:rPr>
                <w:rFonts w:hint="eastAsia" w:ascii="宋体" w:hAnsi="宋体" w:eastAsia="宋体" w:cs="宋体"/>
                <w:lang w:val="en-US" w:eastAsia="zh-CN"/>
              </w:rPr>
              <w:t>湖南开放大学学报,2024,(03):1-6.计5分；</w:t>
            </w:r>
          </w:p>
          <w:p w14:paraId="4E2F4B16">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7</w:t>
            </w:r>
            <w:r>
              <w:rPr>
                <w:rFonts w:hint="eastAsia" w:ascii="宋体" w:hAnsi="宋体" w:cs="宋体"/>
                <w:lang w:val="en-US" w:eastAsia="zh-CN"/>
              </w:rPr>
              <w:t>.</w:t>
            </w:r>
            <w:r>
              <w:rPr>
                <w:rFonts w:hint="eastAsia" w:ascii="宋体" w:hAnsi="宋体" w:eastAsia="宋体" w:cs="宋体"/>
                <w:lang w:val="en-US" w:eastAsia="zh-CN"/>
              </w:rPr>
              <w:t>银奕淇.复杂科学视阈下行业型职教集团可持续发展研究</w:t>
            </w:r>
            <w:r>
              <w:rPr>
                <w:rFonts w:hint="eastAsia" w:ascii="宋体" w:hAnsi="宋体" w:cs="宋体"/>
                <w:lang w:val="en-US" w:eastAsia="zh-CN"/>
              </w:rPr>
              <w:t>[J]</w:t>
            </w:r>
            <w:r>
              <w:rPr>
                <w:rFonts w:hint="eastAsia" w:ascii="宋体" w:hAnsi="宋体" w:eastAsia="宋体" w:cs="宋体"/>
                <w:lang w:val="en-US" w:eastAsia="zh-CN"/>
              </w:rPr>
              <w:t>南方职业教育学刊,2019,9(04):7-12.计5分；</w:t>
            </w:r>
          </w:p>
          <w:p w14:paraId="604223B5">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8</w:t>
            </w:r>
            <w:r>
              <w:rPr>
                <w:rFonts w:hint="eastAsia" w:ascii="宋体" w:hAnsi="宋体" w:cs="宋体"/>
                <w:lang w:val="en-US" w:eastAsia="zh-CN"/>
              </w:rPr>
              <w:t>.</w:t>
            </w:r>
            <w:r>
              <w:rPr>
                <w:rFonts w:hint="eastAsia" w:ascii="宋体" w:hAnsi="宋体" w:eastAsia="宋体" w:cs="宋体"/>
                <w:lang w:val="en-US" w:eastAsia="zh-CN"/>
              </w:rPr>
              <w:t>银奕淇,李响初,彭琨.基于脑认知的物联网信息融合模型研究</w:t>
            </w:r>
            <w:r>
              <w:rPr>
                <w:rFonts w:hint="eastAsia" w:ascii="宋体" w:hAnsi="宋体" w:cs="宋体"/>
                <w:lang w:val="en-US" w:eastAsia="zh-CN"/>
              </w:rPr>
              <w:t>[J]</w:t>
            </w:r>
            <w:r>
              <w:rPr>
                <w:rFonts w:hint="eastAsia" w:ascii="宋体" w:hAnsi="宋体" w:eastAsia="宋体" w:cs="宋体"/>
                <w:lang w:val="en-US" w:eastAsia="zh-CN"/>
              </w:rPr>
              <w:t>福建电脑,2018,34(12):14-15+47.计3.5分；</w:t>
            </w:r>
          </w:p>
          <w:p w14:paraId="4F0E3E82">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9</w:t>
            </w:r>
            <w:r>
              <w:rPr>
                <w:rFonts w:hint="eastAsia" w:ascii="宋体" w:hAnsi="宋体" w:cs="宋体"/>
                <w:lang w:val="en-US" w:eastAsia="zh-CN"/>
              </w:rPr>
              <w:t>.</w:t>
            </w:r>
            <w:r>
              <w:rPr>
                <w:rFonts w:hint="eastAsia" w:ascii="宋体" w:hAnsi="宋体" w:eastAsia="宋体" w:cs="宋体"/>
                <w:lang w:val="en-US" w:eastAsia="zh-CN"/>
              </w:rPr>
              <w:t>银奕淇,黄金波,彭琨.基于脑认知的物联网智能信息处理模型研究</w:t>
            </w:r>
            <w:r>
              <w:rPr>
                <w:rFonts w:hint="eastAsia" w:ascii="宋体" w:hAnsi="宋体" w:cs="宋体"/>
                <w:lang w:val="en-US" w:eastAsia="zh-CN"/>
              </w:rPr>
              <w:t>[J]</w:t>
            </w:r>
            <w:r>
              <w:rPr>
                <w:rFonts w:hint="eastAsia" w:ascii="宋体" w:hAnsi="宋体" w:eastAsia="宋体" w:cs="宋体"/>
                <w:lang w:val="en-US" w:eastAsia="zh-CN"/>
              </w:rPr>
              <w:t>福建电脑,2018,34(09):23-24.计3.5分；</w:t>
            </w:r>
          </w:p>
          <w:p w14:paraId="7C81970E">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10</w:t>
            </w:r>
            <w:r>
              <w:rPr>
                <w:rFonts w:hint="eastAsia" w:ascii="宋体" w:hAnsi="宋体" w:cs="宋体"/>
                <w:lang w:val="en-US" w:eastAsia="zh-CN"/>
              </w:rPr>
              <w:t>.</w:t>
            </w:r>
            <w:r>
              <w:rPr>
                <w:rFonts w:hint="eastAsia" w:ascii="宋体" w:hAnsi="宋体" w:eastAsia="宋体" w:cs="宋体"/>
                <w:lang w:val="en-US" w:eastAsia="zh-CN"/>
              </w:rPr>
              <w:t>银奕淇,欧迪巧.浅析混合所有制由经济领域向教育领域理性迁移</w:t>
            </w:r>
            <w:r>
              <w:rPr>
                <w:rFonts w:hint="eastAsia" w:ascii="宋体" w:hAnsi="宋体" w:cs="宋体"/>
                <w:lang w:val="en-US" w:eastAsia="zh-CN"/>
              </w:rPr>
              <w:t>[J]</w:t>
            </w:r>
            <w:r>
              <w:rPr>
                <w:rFonts w:hint="eastAsia" w:ascii="宋体" w:hAnsi="宋体" w:eastAsia="宋体" w:cs="宋体"/>
                <w:lang w:val="en-US" w:eastAsia="zh-CN"/>
              </w:rPr>
              <w:t>广东蚕业,2018,52(09):136+138.计3.5分；</w:t>
            </w:r>
          </w:p>
          <w:p w14:paraId="25FBB05B">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11</w:t>
            </w:r>
            <w:r>
              <w:rPr>
                <w:rFonts w:hint="eastAsia" w:ascii="宋体" w:hAnsi="宋体" w:cs="宋体"/>
                <w:lang w:val="en-US" w:eastAsia="zh-CN"/>
              </w:rPr>
              <w:t>.</w:t>
            </w:r>
            <w:r>
              <w:rPr>
                <w:rFonts w:hint="eastAsia" w:ascii="宋体" w:hAnsi="宋体" w:eastAsia="宋体" w:cs="宋体"/>
                <w:lang w:val="en-US" w:eastAsia="zh-CN"/>
              </w:rPr>
              <w:t>银奕淇,欧迪巧,刘艳.湖南高校物联网专业差异化发展的思考</w:t>
            </w:r>
            <w:r>
              <w:rPr>
                <w:rFonts w:hint="eastAsia" w:ascii="宋体" w:hAnsi="宋体" w:cs="宋体"/>
                <w:lang w:val="en-US" w:eastAsia="zh-CN"/>
              </w:rPr>
              <w:t>[J]</w:t>
            </w:r>
            <w:r>
              <w:rPr>
                <w:rFonts w:hint="eastAsia" w:ascii="宋体" w:hAnsi="宋体" w:eastAsia="宋体" w:cs="宋体"/>
                <w:lang w:val="en-US" w:eastAsia="zh-CN"/>
              </w:rPr>
              <w:t>计算机教育,2018,(03):92-96.计3.5分；</w:t>
            </w:r>
          </w:p>
          <w:p w14:paraId="6E56E78E">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color w:val="000000" w:themeColor="text1"/>
                <w:szCs w:val="21"/>
                <w14:textFill>
                  <w14:solidFill>
                    <w14:schemeClr w14:val="tx1"/>
                  </w14:solidFill>
                </w14:textFill>
              </w:rPr>
            </w:pPr>
            <w:r>
              <w:rPr>
                <w:rFonts w:hint="eastAsia" w:ascii="宋体" w:hAnsi="宋体" w:eastAsia="宋体" w:cs="宋体"/>
                <w:lang w:val="en-US" w:eastAsia="zh-CN"/>
              </w:rPr>
              <w:t>12</w:t>
            </w:r>
            <w:r>
              <w:rPr>
                <w:rFonts w:hint="eastAsia" w:ascii="宋体" w:hAnsi="宋体" w:cs="宋体"/>
                <w:lang w:val="en-US" w:eastAsia="zh-CN"/>
              </w:rPr>
              <w:t>.</w:t>
            </w:r>
            <w:r>
              <w:rPr>
                <w:rFonts w:hint="eastAsia" w:ascii="宋体" w:hAnsi="宋体" w:eastAsia="宋体" w:cs="宋体"/>
                <w:lang w:val="en-US" w:eastAsia="zh-CN"/>
              </w:rPr>
              <w:t>银奕淇,欧迪巧,肖振南.校地对接模式下高职物联网应用技术专业技术创新工程实施的研究</w:t>
            </w:r>
            <w:r>
              <w:rPr>
                <w:rFonts w:hint="eastAsia" w:ascii="宋体" w:hAnsi="宋体" w:cs="宋体"/>
                <w:lang w:val="en-US" w:eastAsia="zh-CN"/>
              </w:rPr>
              <w:t>[J]</w:t>
            </w:r>
            <w:r>
              <w:rPr>
                <w:rFonts w:hint="eastAsia" w:ascii="宋体" w:hAnsi="宋体" w:eastAsia="宋体" w:cs="宋体"/>
                <w:lang w:val="en-US" w:eastAsia="zh-CN"/>
              </w:rPr>
              <w:t>福建电脑,2017,33(02):59+101.计3.5分；</w:t>
            </w:r>
          </w:p>
        </w:tc>
        <w:tc>
          <w:tcPr>
            <w:tcW w:w="1076" w:type="dxa"/>
            <w:vAlign w:val="center"/>
          </w:tcPr>
          <w:p w14:paraId="4BD3B064">
            <w:pPr>
              <w:adjustRightInd w:val="0"/>
              <w:snapToGrid w:val="0"/>
              <w:spacing w:line="276" w:lineRule="auto"/>
              <w:jc w:val="center"/>
              <w:rPr>
                <w:rFonts w:hint="default" w:eastAsia="宋体"/>
                <w:szCs w:val="21"/>
                <w:lang w:val="en-US" w:eastAsia="zh-CN"/>
              </w:rPr>
            </w:pPr>
            <w:r>
              <w:rPr>
                <w:rFonts w:hint="eastAsia"/>
                <w:szCs w:val="21"/>
                <w:lang w:val="en-US" w:eastAsia="zh-CN"/>
              </w:rPr>
              <w:t>193.5</w:t>
            </w:r>
          </w:p>
        </w:tc>
        <w:tc>
          <w:tcPr>
            <w:tcW w:w="1274" w:type="dxa"/>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153.5</w:t>
            </w:r>
          </w:p>
        </w:tc>
        <w:tc>
          <w:tcPr>
            <w:tcW w:w="2331" w:type="dxa"/>
            <w:vAlign w:val="center"/>
          </w:tcPr>
          <w:p w14:paraId="42142896">
            <w:pPr>
              <w:adjustRightInd w:val="0"/>
              <w:snapToGrid w:val="0"/>
              <w:spacing w:line="276" w:lineRule="auto"/>
              <w:jc w:val="center"/>
              <w:rPr>
                <w:rFonts w:hint="default" w:eastAsia="宋体"/>
                <w:color w:val="A6A6A6" w:themeColor="background1" w:themeShade="A6"/>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left w:val="single" w:color="auto" w:sz="4" w:space="0"/>
            </w:tcBorders>
            <w:vAlign w:val="center"/>
          </w:tcPr>
          <w:p w14:paraId="295A84AA">
            <w:pPr>
              <w:adjustRightInd w:val="0"/>
              <w:snapToGrid w:val="0"/>
              <w:spacing w:line="276" w:lineRule="auto"/>
              <w:jc w:val="center"/>
              <w:rPr>
                <w:b/>
                <w:szCs w:val="21"/>
              </w:rPr>
            </w:pPr>
          </w:p>
        </w:tc>
        <w:tc>
          <w:tcPr>
            <w:tcW w:w="1206" w:type="dxa"/>
            <w:vAlign w:val="center"/>
          </w:tcPr>
          <w:p w14:paraId="501AB396">
            <w:pPr>
              <w:adjustRightInd w:val="0"/>
              <w:snapToGrid w:val="0"/>
              <w:spacing w:line="276" w:lineRule="auto"/>
              <w:jc w:val="center"/>
              <w:rPr>
                <w:szCs w:val="21"/>
              </w:rPr>
            </w:pPr>
            <w:r>
              <w:rPr>
                <w:rFonts w:hint="eastAsia"/>
                <w:szCs w:val="21"/>
              </w:rPr>
              <w:t>4-2</w:t>
            </w:r>
          </w:p>
        </w:tc>
        <w:tc>
          <w:tcPr>
            <w:tcW w:w="14617" w:type="dxa"/>
            <w:gridSpan w:val="10"/>
            <w:vAlign w:val="center"/>
          </w:tcPr>
          <w:p w14:paraId="36B2AC4A">
            <w:pPr>
              <w:adjustRightInd w:val="0"/>
              <w:snapToGrid w:val="0"/>
              <w:spacing w:line="276" w:lineRule="auto"/>
              <w:rPr>
                <w:rFonts w:hint="eastAsia" w:eastAsia="宋体"/>
                <w:color w:val="auto"/>
                <w:szCs w:val="21"/>
                <w:lang w:val="en-US" w:eastAsia="zh-CN"/>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4-2-1学术著作</w:t>
            </w:r>
            <w:r>
              <w:rPr>
                <w:rFonts w:hint="eastAsia" w:eastAsia="宋体"/>
                <w:color w:val="auto"/>
                <w:szCs w:val="21"/>
                <w:lang w:val="en-US" w:eastAsia="zh-CN"/>
              </w:rPr>
              <w:t>（学术专著、编著和译著）：</w:t>
            </w:r>
          </w:p>
          <w:p w14:paraId="08705242">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color w:val="auto"/>
                <w:szCs w:val="21"/>
                <w:lang w:val="en-US" w:eastAsia="zh-CN"/>
              </w:rPr>
              <w:t>1</w:t>
            </w:r>
            <w:r>
              <w:rPr>
                <w:rFonts w:hint="eastAsia" w:ascii="宋体" w:hAnsi="宋体" w:cs="宋体"/>
                <w:lang w:val="en-US" w:eastAsia="zh-CN"/>
              </w:rPr>
              <w:t>.</w:t>
            </w:r>
            <w:r>
              <w:rPr>
                <w:rFonts w:hint="eastAsia" w:ascii="宋体" w:hAnsi="宋体" w:eastAsia="宋体" w:cs="宋体"/>
                <w:lang w:val="en-US" w:eastAsia="zh-CN"/>
              </w:rPr>
              <w:t>主编：银奕淇，欧迪巧，李梓铭，“数字湖南”视野下高职物联网应用技术专业建设研究，湖北科学技术出版社（非国家级出版社），320千字，2017；计35分</w:t>
            </w:r>
          </w:p>
          <w:p w14:paraId="1F566536">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2</w:t>
            </w:r>
            <w:r>
              <w:rPr>
                <w:rFonts w:hint="eastAsia" w:ascii="宋体" w:hAnsi="宋体" w:cs="宋体"/>
                <w:lang w:val="en-US" w:eastAsia="zh-CN"/>
              </w:rPr>
              <w:t>.</w:t>
            </w:r>
            <w:r>
              <w:rPr>
                <w:rFonts w:hint="eastAsia" w:ascii="宋体" w:hAnsi="宋体" w:eastAsia="宋体" w:cs="宋体"/>
                <w:lang w:val="en-US" w:eastAsia="zh-CN"/>
              </w:rPr>
              <w:t>主编：银奕淇，欧迪巧，李梓铭，协同与共生：行业型职业教育集团内涵发展研究，吉林大学出版社（非国家级出版社），210千字，2020；计35分</w:t>
            </w:r>
          </w:p>
          <w:p w14:paraId="1FF2081B">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3</w:t>
            </w:r>
            <w:r>
              <w:rPr>
                <w:rFonts w:hint="eastAsia" w:ascii="宋体" w:hAnsi="宋体" w:cs="宋体"/>
                <w:lang w:val="en-US" w:eastAsia="zh-CN"/>
              </w:rPr>
              <w:t>.</w:t>
            </w:r>
            <w:r>
              <w:rPr>
                <w:rFonts w:hint="eastAsia" w:ascii="宋体" w:hAnsi="宋体" w:eastAsia="宋体" w:cs="宋体"/>
                <w:lang w:val="en-US" w:eastAsia="zh-CN"/>
              </w:rPr>
              <w:t>主编：银奕淇，罗南，陆燕，混合所有制职业院校改革理论与实践，九州出版社（国家级出版社），228千字，2021；计35分</w:t>
            </w:r>
          </w:p>
          <w:p w14:paraId="53F7E781">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4</w:t>
            </w:r>
            <w:r>
              <w:rPr>
                <w:rFonts w:hint="eastAsia" w:ascii="宋体" w:hAnsi="宋体" w:cs="宋体"/>
                <w:lang w:val="en-US" w:eastAsia="zh-CN"/>
              </w:rPr>
              <w:t>.</w:t>
            </w:r>
            <w:r>
              <w:rPr>
                <w:rFonts w:hint="eastAsia" w:ascii="宋体" w:hAnsi="宋体" w:eastAsia="宋体" w:cs="宋体"/>
                <w:lang w:val="en-US" w:eastAsia="zh-CN"/>
              </w:rPr>
              <w:t>主编：参编：银奕淇，湖南省继续教育年度发展报告2019，湖南教育出版社（国家级出版社），86千字，2020；计3分</w:t>
            </w:r>
          </w:p>
          <w:p w14:paraId="6A8B40CC">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5</w:t>
            </w:r>
            <w:r>
              <w:rPr>
                <w:rFonts w:hint="eastAsia" w:ascii="宋体" w:hAnsi="宋体" w:cs="宋体"/>
                <w:lang w:val="en-US" w:eastAsia="zh-CN"/>
              </w:rPr>
              <w:t>.</w:t>
            </w:r>
            <w:r>
              <w:rPr>
                <w:rFonts w:hint="eastAsia" w:ascii="宋体" w:hAnsi="宋体" w:eastAsia="宋体" w:cs="宋体"/>
                <w:lang w:val="en-US" w:eastAsia="zh-CN"/>
              </w:rPr>
              <w:t>主编：参编：银奕淇，湖南省继续教育年度发展报告2020，湖南师范大学出版社（国家级出版社），120千字，2022；计3分</w:t>
            </w:r>
          </w:p>
          <w:p w14:paraId="4204F84C">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eastAsia="宋体"/>
                <w:color w:val="auto"/>
                <w:szCs w:val="21"/>
                <w:lang w:eastAsia="zh-CN"/>
              </w:rPr>
            </w:pPr>
            <w:r>
              <w:rPr>
                <w:rFonts w:hint="eastAsia" w:ascii="宋体" w:hAnsi="宋体" w:eastAsia="宋体" w:cs="宋体"/>
                <w:lang w:val="en-US" w:eastAsia="zh-CN"/>
              </w:rPr>
              <w:t>6</w:t>
            </w:r>
            <w:r>
              <w:rPr>
                <w:rFonts w:hint="eastAsia" w:ascii="宋体" w:hAnsi="宋体" w:cs="宋体"/>
                <w:lang w:val="en-US" w:eastAsia="zh-CN"/>
              </w:rPr>
              <w:t>.</w:t>
            </w:r>
            <w:r>
              <w:rPr>
                <w:rFonts w:hint="eastAsia" w:ascii="宋体" w:hAnsi="宋体" w:eastAsia="宋体" w:cs="宋体"/>
                <w:lang w:val="en-US" w:eastAsia="zh-CN"/>
              </w:rPr>
              <w:t>主编：参编：银奕淇，湖南省继续教育年度发展报告2021，湖南师范大学出版社（国家级出版社），120千字，2023。计3分</w:t>
            </w:r>
          </w:p>
        </w:tc>
        <w:tc>
          <w:tcPr>
            <w:tcW w:w="1076" w:type="dxa"/>
            <w:vAlign w:val="center"/>
          </w:tcPr>
          <w:p w14:paraId="4E400331">
            <w:pPr>
              <w:adjustRightInd w:val="0"/>
              <w:snapToGrid w:val="0"/>
              <w:spacing w:line="276" w:lineRule="auto"/>
              <w:jc w:val="center"/>
              <w:rPr>
                <w:rFonts w:hint="default" w:eastAsia="宋体"/>
                <w:szCs w:val="21"/>
                <w:lang w:val="en-US" w:eastAsia="zh-CN"/>
              </w:rPr>
            </w:pPr>
            <w:r>
              <w:rPr>
                <w:rFonts w:hint="eastAsia"/>
                <w:szCs w:val="21"/>
                <w:lang w:val="en-US" w:eastAsia="zh-CN"/>
              </w:rPr>
              <w:t>114</w:t>
            </w:r>
          </w:p>
        </w:tc>
        <w:tc>
          <w:tcPr>
            <w:tcW w:w="1274" w:type="dxa"/>
            <w:vAlign w:val="center"/>
          </w:tcPr>
          <w:p w14:paraId="5A2B9D2B">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114</w:t>
            </w:r>
          </w:p>
        </w:tc>
        <w:tc>
          <w:tcPr>
            <w:tcW w:w="2331" w:type="dxa"/>
            <w:vAlign w:val="center"/>
          </w:tcPr>
          <w:p w14:paraId="1957C108">
            <w:pPr>
              <w:adjustRightInd w:val="0"/>
              <w:snapToGrid w:val="0"/>
              <w:spacing w:line="276" w:lineRule="auto"/>
              <w:jc w:val="center"/>
              <w:rPr>
                <w:rFonts w:hint="eastAsia" w:eastAsia="宋体"/>
                <w:color w:val="A6A6A6" w:themeColor="background1" w:themeShade="A6"/>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tcBorders>
              <w:left w:val="single" w:color="auto" w:sz="4" w:space="0"/>
            </w:tcBorders>
            <w:vAlign w:val="center"/>
          </w:tcPr>
          <w:p w14:paraId="4B5C8A4B">
            <w:pPr>
              <w:adjustRightInd w:val="0"/>
              <w:snapToGrid w:val="0"/>
              <w:spacing w:line="276" w:lineRule="auto"/>
              <w:jc w:val="center"/>
              <w:rPr>
                <w:b/>
                <w:szCs w:val="21"/>
              </w:rPr>
            </w:pPr>
          </w:p>
        </w:tc>
        <w:tc>
          <w:tcPr>
            <w:tcW w:w="1206" w:type="dxa"/>
            <w:vMerge w:val="restart"/>
            <w:vAlign w:val="center"/>
          </w:tcPr>
          <w:p w14:paraId="0C3F595A">
            <w:pPr>
              <w:adjustRightInd w:val="0"/>
              <w:snapToGrid w:val="0"/>
              <w:spacing w:line="276" w:lineRule="auto"/>
              <w:jc w:val="center"/>
              <w:rPr>
                <w:szCs w:val="21"/>
              </w:rPr>
            </w:pPr>
            <w:r>
              <w:rPr>
                <w:rFonts w:hint="eastAsia"/>
                <w:szCs w:val="21"/>
              </w:rPr>
              <w:t>4-3</w:t>
            </w:r>
          </w:p>
        </w:tc>
        <w:tc>
          <w:tcPr>
            <w:tcW w:w="14617" w:type="dxa"/>
            <w:gridSpan w:val="10"/>
            <w:vAlign w:val="center"/>
          </w:tcPr>
          <w:p w14:paraId="30C2FCF3">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4-3-1原创作品、产品</w:t>
            </w:r>
            <w:r>
              <w:rPr>
                <w:rFonts w:hint="eastAsia"/>
                <w:color w:val="558ED5" w:themeColor="text2" w:themeTint="99"/>
                <w:szCs w:val="21"/>
                <w:lang w:val="en-US" w:eastAsia="zh-CN"/>
                <w14:textFill>
                  <w14:solidFill>
                    <w14:schemeClr w14:val="tx2">
                      <w14:lumMod w14:val="60000"/>
                      <w14:lumOff w14:val="40000"/>
                    </w14:schemeClr>
                  </w14:solidFill>
                </w14:textFill>
              </w:rPr>
              <w:t>：</w:t>
            </w:r>
            <w:r>
              <w:rPr>
                <w:rFonts w:hint="eastAsia" w:ascii="宋体" w:hAnsi="宋体" w:eastAsia="宋体" w:cs="宋体"/>
                <w:b w:val="0"/>
                <w:bCs w:val="0"/>
                <w:lang w:val="en-US" w:eastAsia="zh-CN"/>
              </w:rPr>
              <w:t>无</w:t>
            </w:r>
          </w:p>
        </w:tc>
        <w:tc>
          <w:tcPr>
            <w:tcW w:w="1076" w:type="dxa"/>
            <w:vAlign w:val="center"/>
          </w:tcPr>
          <w:p w14:paraId="46AE610D">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Merge w:val="restart"/>
            <w:vAlign w:val="center"/>
          </w:tcPr>
          <w:p w14:paraId="5E3D37C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0A76E8">
            <w:pPr>
              <w:adjustRightInd w:val="0"/>
              <w:snapToGrid w:val="0"/>
              <w:spacing w:line="276" w:lineRule="auto"/>
              <w:jc w:val="center"/>
              <w:rPr>
                <w:rFonts w:hint="eastAsia" w:eastAsia="宋体"/>
                <w:color w:val="A6A6A6" w:themeColor="background1" w:themeShade="A6"/>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tcBorders>
              <w:left w:val="single" w:color="auto" w:sz="4" w:space="0"/>
              <w:bottom w:val="single" w:color="auto" w:sz="4" w:space="0"/>
            </w:tcBorders>
            <w:vAlign w:val="center"/>
          </w:tcPr>
          <w:p w14:paraId="662BED10">
            <w:pPr>
              <w:adjustRightInd w:val="0"/>
              <w:snapToGrid w:val="0"/>
              <w:spacing w:line="276" w:lineRule="auto"/>
              <w:jc w:val="center"/>
              <w:rPr>
                <w:b/>
                <w:szCs w:val="21"/>
              </w:rPr>
            </w:pPr>
          </w:p>
        </w:tc>
        <w:tc>
          <w:tcPr>
            <w:tcW w:w="1206" w:type="dxa"/>
            <w:vMerge w:val="continue"/>
            <w:tcBorders>
              <w:bottom w:val="single" w:color="auto" w:sz="4" w:space="0"/>
            </w:tcBorders>
            <w:vAlign w:val="center"/>
          </w:tcPr>
          <w:p w14:paraId="5C681B9A">
            <w:pPr>
              <w:adjustRightInd w:val="0"/>
              <w:snapToGrid w:val="0"/>
              <w:spacing w:line="276" w:lineRule="auto"/>
              <w:jc w:val="center"/>
              <w:rPr>
                <w:szCs w:val="21"/>
              </w:rPr>
            </w:pPr>
          </w:p>
        </w:tc>
        <w:tc>
          <w:tcPr>
            <w:tcW w:w="14617" w:type="dxa"/>
            <w:gridSpan w:val="10"/>
            <w:tcBorders>
              <w:bottom w:val="single" w:color="auto" w:sz="4" w:space="0"/>
            </w:tcBorders>
            <w:vAlign w:val="center"/>
          </w:tcPr>
          <w:p w14:paraId="7BA044DC">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4-3-2非原创作品、产品</w:t>
            </w:r>
            <w:r>
              <w:rPr>
                <w:rFonts w:hint="eastAsia"/>
                <w:color w:val="558ED5" w:themeColor="text2" w:themeTint="99"/>
                <w:szCs w:val="21"/>
                <w:lang w:val="en-US" w:eastAsia="zh-CN"/>
                <w14:textFill>
                  <w14:solidFill>
                    <w14:schemeClr w14:val="tx2">
                      <w14:lumMod w14:val="60000"/>
                      <w14:lumOff w14:val="40000"/>
                    </w14:schemeClr>
                  </w14:solidFill>
                </w14:textFill>
              </w:rPr>
              <w:t>：</w:t>
            </w:r>
            <w:r>
              <w:rPr>
                <w:rFonts w:hint="eastAsia" w:ascii="宋体" w:hAnsi="宋体" w:eastAsia="宋体" w:cs="宋体"/>
                <w:b w:val="0"/>
                <w:bCs w:val="0"/>
                <w:lang w:val="en-US" w:eastAsia="zh-CN"/>
              </w:rPr>
              <w:t>无</w:t>
            </w:r>
          </w:p>
        </w:tc>
        <w:tc>
          <w:tcPr>
            <w:tcW w:w="1076" w:type="dxa"/>
            <w:tcBorders>
              <w:bottom w:val="single" w:color="auto" w:sz="4" w:space="0"/>
            </w:tcBorders>
            <w:vAlign w:val="center"/>
          </w:tcPr>
          <w:p w14:paraId="40ED6E66">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Merge w:val="continue"/>
            <w:tcBorders>
              <w:bottom w:val="single" w:color="auto" w:sz="4" w:space="0"/>
            </w:tcBorders>
            <w:vAlign w:val="center"/>
          </w:tcPr>
          <w:p w14:paraId="1D49F3C3">
            <w:pPr>
              <w:adjustRightInd w:val="0"/>
              <w:snapToGrid w:val="0"/>
              <w:spacing w:line="276" w:lineRule="auto"/>
              <w:jc w:val="center"/>
              <w:rPr>
                <w:rFonts w:hint="eastAsia" w:eastAsia="宋体"/>
                <w:color w:val="auto"/>
                <w:szCs w:val="21"/>
                <w:lang w:val="en-US" w:eastAsia="zh-CN"/>
              </w:rPr>
            </w:pPr>
          </w:p>
        </w:tc>
        <w:tc>
          <w:tcPr>
            <w:tcW w:w="2331" w:type="dxa"/>
            <w:tcBorders>
              <w:bottom w:val="single" w:color="auto" w:sz="4" w:space="0"/>
            </w:tcBorders>
            <w:vAlign w:val="center"/>
          </w:tcPr>
          <w:p w14:paraId="118C1216">
            <w:pPr>
              <w:adjustRightInd w:val="0"/>
              <w:snapToGrid w:val="0"/>
              <w:spacing w:line="276" w:lineRule="auto"/>
              <w:jc w:val="center"/>
              <w:rPr>
                <w:rFonts w:hint="eastAsia" w:eastAsia="宋体"/>
                <w:color w:val="A6A6A6" w:themeColor="background1" w:themeShade="A6"/>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5" w:hRule="atLeast"/>
        </w:trPr>
        <w:tc>
          <w:tcPr>
            <w:tcW w:w="646" w:type="dxa"/>
            <w:vMerge w:val="continue"/>
            <w:tcBorders>
              <w:top w:val="single" w:color="auto" w:sz="4" w:space="0"/>
              <w:left w:val="single" w:color="auto" w:sz="4" w:space="0"/>
              <w:bottom w:val="single" w:color="auto" w:sz="4" w:space="0"/>
            </w:tcBorders>
            <w:vAlign w:val="center"/>
          </w:tcPr>
          <w:p w14:paraId="5F4586BF">
            <w:pPr>
              <w:adjustRightInd w:val="0"/>
              <w:snapToGrid w:val="0"/>
              <w:spacing w:line="276" w:lineRule="auto"/>
              <w:jc w:val="center"/>
              <w:rPr>
                <w:b/>
                <w:szCs w:val="21"/>
              </w:rPr>
            </w:pPr>
          </w:p>
        </w:tc>
        <w:tc>
          <w:tcPr>
            <w:tcW w:w="1206" w:type="dxa"/>
            <w:tcBorders>
              <w:top w:val="single" w:color="auto" w:sz="4" w:space="0"/>
              <w:bottom w:val="single" w:color="auto" w:sz="4" w:space="0"/>
            </w:tcBorders>
            <w:vAlign w:val="center"/>
          </w:tcPr>
          <w:p w14:paraId="575EEDF5">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360AAF94">
            <w:pPr>
              <w:adjustRightInd w:val="0"/>
              <w:snapToGrid w:val="0"/>
              <w:spacing w:line="276" w:lineRule="auto"/>
              <w:jc w:val="center"/>
              <w:rPr>
                <w:rFonts w:hint="eastAsia"/>
                <w:szCs w:val="21"/>
              </w:rPr>
            </w:pPr>
          </w:p>
        </w:tc>
        <w:tc>
          <w:tcPr>
            <w:tcW w:w="14617" w:type="dxa"/>
            <w:gridSpan w:val="10"/>
            <w:tcBorders>
              <w:top w:val="single" w:color="auto" w:sz="4" w:space="0"/>
              <w:bottom w:val="single" w:color="auto" w:sz="4" w:space="0"/>
            </w:tcBorders>
            <w:vAlign w:val="center"/>
          </w:tcPr>
          <w:p w14:paraId="5B536E22">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纵向科研项目（含科研、教改等项目）</w:t>
            </w:r>
          </w:p>
          <w:p w14:paraId="4EC69864">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1</w:t>
            </w:r>
            <w:r>
              <w:rPr>
                <w:rFonts w:hint="eastAsia" w:ascii="宋体" w:hAnsi="宋体" w:cs="宋体"/>
                <w:b w:val="0"/>
                <w:bCs w:val="0"/>
                <w:lang w:val="en-US" w:eastAsia="zh-CN"/>
              </w:rPr>
              <w:t>.</w:t>
            </w:r>
            <w:r>
              <w:rPr>
                <w:rFonts w:hint="eastAsia" w:ascii="宋体" w:hAnsi="宋体" w:eastAsia="宋体" w:cs="宋体"/>
                <w:b w:val="0"/>
                <w:bCs w:val="0"/>
                <w:lang w:val="en-US" w:eastAsia="zh-CN"/>
              </w:rPr>
              <w:t xml:space="preserve">银奕淇，国家学习型社会建设重点任务建设项目，数字媒体技术专业群“三教协同、五体一体、多维融合”育人体系创新实践，2025/1-至今，在研，主 </w:t>
            </w:r>
          </w:p>
          <w:p w14:paraId="3BEF547D">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持；</w:t>
            </w:r>
          </w:p>
          <w:p w14:paraId="2D5DE071">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b w:val="0"/>
                <w:bCs w:val="0"/>
                <w:lang w:val="en-US" w:eastAsia="zh-CN"/>
              </w:rPr>
            </w:pPr>
            <w:r>
              <w:rPr>
                <w:rFonts w:hint="eastAsia" w:ascii="宋体" w:hAnsi="宋体" w:eastAsia="宋体" w:cs="宋体"/>
                <w:b w:val="0"/>
                <w:bCs w:val="0"/>
                <w:lang w:val="en-US" w:eastAsia="zh-CN"/>
              </w:rPr>
              <w:t>2</w:t>
            </w:r>
            <w:r>
              <w:rPr>
                <w:rFonts w:hint="eastAsia" w:ascii="宋体" w:hAnsi="宋体" w:cs="宋体"/>
                <w:b w:val="0"/>
                <w:bCs w:val="0"/>
                <w:lang w:val="en-US" w:eastAsia="zh-CN"/>
              </w:rPr>
              <w:t>.</w:t>
            </w:r>
            <w:r>
              <w:rPr>
                <w:rFonts w:hint="eastAsia" w:ascii="宋体" w:hAnsi="宋体" w:eastAsia="宋体" w:cs="宋体"/>
                <w:b w:val="0"/>
                <w:bCs w:val="0"/>
                <w:lang w:val="en-US" w:eastAsia="zh-CN"/>
              </w:rPr>
              <w:t>银奕淇，湖南省教育科学“十四五”规划项目一般资助项目，XJK21BCJ001，供给侧改革导向下湖南高等学历继续教育高质量发展的长效机制研究，2021/8-至今，2万元，在研，主持；计21分</w:t>
            </w:r>
          </w:p>
          <w:p w14:paraId="4165DBA2">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b w:val="0"/>
                <w:bCs w:val="0"/>
                <w:lang w:val="en-US" w:eastAsia="zh-CN"/>
              </w:rPr>
            </w:pPr>
            <w:r>
              <w:rPr>
                <w:rFonts w:hint="eastAsia" w:ascii="宋体" w:hAnsi="宋体" w:eastAsia="宋体" w:cs="宋体"/>
                <w:b w:val="0"/>
                <w:bCs w:val="0"/>
                <w:lang w:val="en-US" w:eastAsia="zh-CN"/>
              </w:rPr>
              <w:t>3</w:t>
            </w:r>
            <w:r>
              <w:rPr>
                <w:rFonts w:hint="eastAsia" w:ascii="宋体" w:hAnsi="宋体" w:cs="宋体"/>
                <w:b w:val="0"/>
                <w:bCs w:val="0"/>
                <w:lang w:val="en-US" w:eastAsia="zh-CN"/>
              </w:rPr>
              <w:t>.</w:t>
            </w:r>
            <w:r>
              <w:rPr>
                <w:rFonts w:hint="eastAsia" w:ascii="宋体" w:hAnsi="宋体" w:eastAsia="宋体" w:cs="宋体"/>
                <w:b w:val="0"/>
                <w:bCs w:val="0"/>
                <w:lang w:val="en-US" w:eastAsia="zh-CN"/>
              </w:rPr>
              <w:t>银奕淇，湖南省职业院校教育教学改革项目重点项目，ZJZD20200100，高等学历继续教育服务管理平台建设与应用研究，2020/11-2024/7，16万元，结项,主持；计21分</w:t>
            </w:r>
          </w:p>
          <w:p w14:paraId="0473514F">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4</w:t>
            </w:r>
            <w:r>
              <w:rPr>
                <w:rFonts w:hint="eastAsia" w:ascii="宋体" w:hAnsi="宋体" w:cs="宋体"/>
                <w:b w:val="0"/>
                <w:bCs w:val="0"/>
                <w:lang w:val="en-US" w:eastAsia="zh-CN"/>
              </w:rPr>
              <w:t>.</w:t>
            </w:r>
            <w:r>
              <w:rPr>
                <w:rFonts w:hint="eastAsia" w:ascii="宋体" w:hAnsi="宋体" w:eastAsia="宋体" w:cs="宋体"/>
                <w:b w:val="0"/>
                <w:bCs w:val="0"/>
                <w:lang w:val="en-US" w:eastAsia="zh-CN"/>
              </w:rPr>
              <w:t>银奕淇，教育部人文社会科学研究项目青年项目，18YJC88010，职业院校混合所有制改革的风险管理研究，2018/8-2025/3，16万元，结项,主持；计105分</w:t>
            </w:r>
          </w:p>
          <w:p w14:paraId="52C0352A">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b w:val="0"/>
                <w:bCs w:val="0"/>
                <w:lang w:val="en-US" w:eastAsia="zh-CN"/>
              </w:rPr>
            </w:pPr>
            <w:r>
              <w:rPr>
                <w:rFonts w:hint="eastAsia" w:ascii="宋体" w:hAnsi="宋体" w:eastAsia="宋体" w:cs="宋体"/>
                <w:b w:val="0"/>
                <w:bCs w:val="0"/>
                <w:lang w:val="en-US" w:eastAsia="zh-CN"/>
              </w:rPr>
              <w:t>5</w:t>
            </w:r>
            <w:r>
              <w:rPr>
                <w:rFonts w:hint="eastAsia" w:ascii="宋体" w:hAnsi="宋体" w:cs="宋体"/>
                <w:b w:val="0"/>
                <w:bCs w:val="0"/>
                <w:lang w:val="en-US" w:eastAsia="zh-CN"/>
              </w:rPr>
              <w:t>.</w:t>
            </w:r>
            <w:r>
              <w:rPr>
                <w:rFonts w:hint="eastAsia" w:ascii="宋体" w:hAnsi="宋体" w:eastAsia="宋体" w:cs="宋体"/>
                <w:b w:val="0"/>
                <w:bCs w:val="0"/>
                <w:lang w:val="en-US" w:eastAsia="zh-CN"/>
              </w:rPr>
              <w:t>银奕淇，湖南省哲学社会科学基金一般项目，16YBG029，“中国智造”背景下湖南高职院校混合所有制改革创新研究，2016/6-2022/1，4万元，结项,主持；计35分</w:t>
            </w:r>
          </w:p>
          <w:p w14:paraId="50994093">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6</w:t>
            </w:r>
            <w:r>
              <w:rPr>
                <w:rFonts w:hint="eastAsia" w:ascii="宋体" w:hAnsi="宋体" w:cs="宋体"/>
                <w:b w:val="0"/>
                <w:bCs w:val="0"/>
                <w:lang w:val="en-US" w:eastAsia="zh-CN"/>
              </w:rPr>
              <w:t>.</w:t>
            </w:r>
            <w:r>
              <w:rPr>
                <w:rFonts w:hint="eastAsia" w:ascii="宋体" w:hAnsi="宋体" w:eastAsia="宋体" w:cs="宋体"/>
                <w:b w:val="0"/>
                <w:bCs w:val="0"/>
                <w:lang w:val="en-US" w:eastAsia="zh-CN"/>
              </w:rPr>
              <w:t>银奕淇，湖南省社会科学成果评审委员会项目一般项目，XSPYBZCO19，新常态下湖南高职院校混合所有制办学改革制度保障体系研究，2016/6-2021/4，0.6万元，结项,主持；计21分</w:t>
            </w:r>
          </w:p>
          <w:p w14:paraId="79CD93B1">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7</w:t>
            </w:r>
            <w:r>
              <w:rPr>
                <w:rFonts w:hint="eastAsia" w:ascii="宋体" w:hAnsi="宋体" w:cs="宋体"/>
                <w:b w:val="0"/>
                <w:bCs w:val="0"/>
                <w:lang w:val="en-US" w:eastAsia="zh-CN"/>
              </w:rPr>
              <w:t>.</w:t>
            </w:r>
            <w:r>
              <w:rPr>
                <w:rFonts w:hint="eastAsia" w:ascii="宋体" w:hAnsi="宋体" w:eastAsia="宋体" w:cs="宋体"/>
                <w:b w:val="0"/>
                <w:bCs w:val="0"/>
                <w:lang w:val="en-US" w:eastAsia="zh-CN"/>
              </w:rPr>
              <w:t>银奕淇，株洲市社科基金一般项目，ZZSK16021，株洲市高职院校混合所有制改革路径研究， 株洲市社科联，2016/1-2016/12，0.3万元，结项,主持；计15分</w:t>
            </w:r>
          </w:p>
          <w:p w14:paraId="35AC4B06">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8</w:t>
            </w:r>
            <w:r>
              <w:rPr>
                <w:rFonts w:hint="eastAsia" w:ascii="宋体" w:hAnsi="宋体" w:cs="宋体"/>
                <w:b w:val="0"/>
                <w:bCs w:val="0"/>
                <w:lang w:val="en-US" w:eastAsia="zh-CN"/>
              </w:rPr>
              <w:t>.</w:t>
            </w:r>
            <w:r>
              <w:rPr>
                <w:rFonts w:hint="eastAsia" w:ascii="宋体" w:hAnsi="宋体" w:eastAsia="宋体" w:cs="宋体"/>
                <w:b w:val="0"/>
                <w:bCs w:val="0"/>
                <w:lang w:val="en-US" w:eastAsia="zh-CN"/>
              </w:rPr>
              <w:t>银奕淇，湖南省教育厅高等学校科学研究一般项目，15C1021，基于脑认知的物联网信息融合技术研究，2015/4-2018/12，2万元，结项,主持；计</w:t>
            </w:r>
            <w:r>
              <w:rPr>
                <w:rFonts w:hint="eastAsia" w:ascii="宋体" w:hAnsi="宋体" w:cs="宋体"/>
                <w:b w:val="0"/>
                <w:bCs w:val="0"/>
                <w:lang w:val="en-US" w:eastAsia="zh-CN"/>
              </w:rPr>
              <w:t>15</w:t>
            </w:r>
            <w:r>
              <w:rPr>
                <w:rFonts w:hint="eastAsia" w:ascii="宋体" w:hAnsi="宋体" w:eastAsia="宋体" w:cs="宋体"/>
                <w:b w:val="0"/>
                <w:bCs w:val="0"/>
                <w:lang w:val="en-US" w:eastAsia="zh-CN"/>
              </w:rPr>
              <w:t>分</w:t>
            </w:r>
          </w:p>
          <w:p w14:paraId="16315CF7">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b w:val="0"/>
                <w:bCs w:val="0"/>
                <w:lang w:val="en-US" w:eastAsia="zh-CN"/>
              </w:rPr>
            </w:pPr>
            <w:r>
              <w:rPr>
                <w:rFonts w:hint="eastAsia" w:ascii="宋体" w:hAnsi="宋体" w:eastAsia="宋体" w:cs="宋体"/>
                <w:b w:val="0"/>
                <w:bCs w:val="0"/>
                <w:lang w:val="en-US" w:eastAsia="zh-CN"/>
              </w:rPr>
              <w:t>9</w:t>
            </w:r>
            <w:r>
              <w:rPr>
                <w:rFonts w:hint="eastAsia" w:ascii="宋体" w:hAnsi="宋体" w:cs="宋体"/>
                <w:b w:val="0"/>
                <w:bCs w:val="0"/>
                <w:lang w:val="en-US" w:eastAsia="zh-CN"/>
              </w:rPr>
              <w:t>.</w:t>
            </w:r>
            <w:r>
              <w:rPr>
                <w:rFonts w:hint="eastAsia" w:ascii="宋体" w:hAnsi="宋体" w:eastAsia="宋体" w:cs="宋体"/>
                <w:b w:val="0"/>
                <w:bCs w:val="0"/>
                <w:lang w:val="en-US" w:eastAsia="zh-CN"/>
              </w:rPr>
              <w:t>银奕淇，湖南省教育科学“十二五”规划一般资助项目，XJK013BFZ002，协同与共生：有色金属行业职教集团内涵发展研究，2013/8-2017/4，2万元，结项,主持；计35分</w:t>
            </w:r>
          </w:p>
          <w:p w14:paraId="472082D3">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b w:val="0"/>
                <w:bCs w:val="0"/>
                <w:lang w:val="en-US" w:eastAsia="zh-CN"/>
              </w:rPr>
            </w:pPr>
            <w:r>
              <w:rPr>
                <w:rFonts w:hint="eastAsia" w:ascii="宋体" w:hAnsi="宋体" w:eastAsia="宋体" w:cs="宋体"/>
                <w:b w:val="0"/>
                <w:bCs w:val="0"/>
                <w:lang w:val="en-US" w:eastAsia="zh-CN"/>
              </w:rPr>
              <w:t>10</w:t>
            </w:r>
            <w:r>
              <w:rPr>
                <w:rFonts w:hint="eastAsia" w:ascii="宋体" w:hAnsi="宋体" w:cs="宋体"/>
                <w:b w:val="0"/>
                <w:bCs w:val="0"/>
                <w:lang w:val="en-US" w:eastAsia="zh-CN"/>
              </w:rPr>
              <w:t>.</w:t>
            </w:r>
            <w:r>
              <w:rPr>
                <w:rFonts w:hint="eastAsia" w:ascii="宋体" w:hAnsi="宋体" w:eastAsia="宋体" w:cs="宋体"/>
                <w:b w:val="0"/>
                <w:bCs w:val="0"/>
                <w:lang w:val="en-US" w:eastAsia="zh-CN"/>
              </w:rPr>
              <w:t>银奕淇，株洲市社科基金一般项目，ZZSK1311，株洲市职业教育集团化办学比较研究，2013/3-2014/3，0.3万元，结项,主持；计15分</w:t>
            </w:r>
          </w:p>
          <w:p w14:paraId="113E7592">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11</w:t>
            </w:r>
            <w:r>
              <w:rPr>
                <w:rFonts w:hint="eastAsia" w:ascii="宋体" w:hAnsi="宋体" w:cs="宋体"/>
                <w:b w:val="0"/>
                <w:bCs w:val="0"/>
                <w:lang w:val="en-US" w:eastAsia="zh-CN"/>
              </w:rPr>
              <w:t>.</w:t>
            </w:r>
            <w:r>
              <w:rPr>
                <w:rFonts w:hint="eastAsia" w:ascii="宋体" w:hAnsi="宋体" w:eastAsia="宋体" w:cs="宋体"/>
                <w:b w:val="0"/>
                <w:bCs w:val="0"/>
                <w:lang w:val="en-US" w:eastAsia="zh-CN"/>
              </w:rPr>
              <w:t>银奕淇，湖南省省情与决策咨询研究一般项目，2012BZZ68，“数字湖南”建设视野下高职院校与战略性新兴产业发展对接研究—以物联网产业为例，2012/8-2015/9，0.3万元，结项,主持；计15分</w:t>
            </w:r>
          </w:p>
          <w:p w14:paraId="04B17972">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12</w:t>
            </w:r>
            <w:r>
              <w:rPr>
                <w:rFonts w:hint="eastAsia" w:ascii="宋体" w:hAnsi="宋体" w:cs="宋体"/>
                <w:b w:val="0"/>
                <w:bCs w:val="0"/>
                <w:lang w:val="en-US" w:eastAsia="zh-CN"/>
              </w:rPr>
              <w:t>.</w:t>
            </w:r>
            <w:r>
              <w:rPr>
                <w:rFonts w:hint="eastAsia" w:ascii="宋体" w:hAnsi="宋体" w:eastAsia="宋体" w:cs="宋体"/>
                <w:b w:val="0"/>
                <w:bCs w:val="0"/>
                <w:lang w:val="en-US" w:eastAsia="zh-CN"/>
              </w:rPr>
              <w:t>银奕淇，湖南省教育厅高等学校科学研究一般项目，11C0574，基于异构融合机制下物联网移动性管理关键技术研究，2011/7-2014/2，2万元，结项,主持；计15分</w:t>
            </w:r>
          </w:p>
          <w:p w14:paraId="74760099">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13</w:t>
            </w:r>
            <w:r>
              <w:rPr>
                <w:rFonts w:hint="eastAsia" w:ascii="宋体" w:hAnsi="宋体" w:cs="宋体"/>
                <w:b w:val="0"/>
                <w:bCs w:val="0"/>
                <w:lang w:val="en-US" w:eastAsia="zh-CN"/>
              </w:rPr>
              <w:t>.</w:t>
            </w:r>
            <w:r>
              <w:rPr>
                <w:rFonts w:hint="eastAsia" w:ascii="宋体" w:hAnsi="宋体" w:eastAsia="宋体" w:cs="宋体"/>
                <w:b w:val="0"/>
                <w:bCs w:val="0"/>
                <w:lang w:val="en-US" w:eastAsia="zh-CN"/>
              </w:rPr>
              <w:t>银奕淇，湖南广播电视大学科研项目一般项目，XDK2019-C-19，混合所有制背景下社区职业培训精准服务模式研究，2019/7-至今，0.3万元，在研，主持；计3分</w:t>
            </w:r>
          </w:p>
          <w:p w14:paraId="34CAF4C9">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b w:val="0"/>
                <w:bCs w:val="0"/>
                <w:lang w:val="en-US" w:eastAsia="zh-CN"/>
              </w:rPr>
            </w:pPr>
            <w:r>
              <w:rPr>
                <w:rFonts w:hint="eastAsia" w:ascii="宋体" w:hAnsi="宋体" w:eastAsia="宋体" w:cs="宋体"/>
                <w:b w:val="0"/>
                <w:bCs w:val="0"/>
                <w:lang w:val="en-US" w:eastAsia="zh-CN"/>
              </w:rPr>
              <w:t>14</w:t>
            </w:r>
            <w:r>
              <w:rPr>
                <w:rFonts w:hint="eastAsia" w:ascii="宋体" w:hAnsi="宋体" w:cs="宋体"/>
                <w:b w:val="0"/>
                <w:bCs w:val="0"/>
                <w:lang w:val="en-US" w:eastAsia="zh-CN"/>
              </w:rPr>
              <w:t>.</w:t>
            </w:r>
            <w:r>
              <w:rPr>
                <w:rFonts w:hint="eastAsia" w:ascii="宋体" w:hAnsi="宋体" w:eastAsia="宋体" w:cs="宋体"/>
                <w:b w:val="0"/>
                <w:bCs w:val="0"/>
                <w:lang w:val="en-US" w:eastAsia="zh-CN"/>
              </w:rPr>
              <w:t>银奕淇，湖南省教育厅委托项目子项目，XDK2019-Z-3，湖南省高等学历继续教育管办评分离实践研究，2019/7-至今，0.3万元，在研，主持；计3分</w:t>
            </w:r>
          </w:p>
          <w:p w14:paraId="01694647">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b w:val="0"/>
                <w:bCs w:val="0"/>
                <w:lang w:val="en-US" w:eastAsia="zh-CN"/>
              </w:rPr>
            </w:pPr>
            <w:r>
              <w:rPr>
                <w:rFonts w:hint="eastAsia" w:ascii="宋体" w:hAnsi="宋体" w:cs="宋体"/>
                <w:b w:val="0"/>
                <w:bCs w:val="0"/>
                <w:lang w:val="en-US" w:eastAsia="zh-CN"/>
              </w:rPr>
              <w:t>15.</w:t>
            </w:r>
            <w:r>
              <w:rPr>
                <w:rFonts w:hint="eastAsia" w:ascii="宋体" w:hAnsi="宋体" w:eastAsia="宋体" w:cs="宋体"/>
                <w:b w:val="0"/>
                <w:bCs w:val="0"/>
                <w:lang w:val="en-US" w:eastAsia="zh-CN"/>
              </w:rPr>
              <w:t>欧迪巧，湖南省职业院校教育教学改革一般项目，ZJB2012056，高职物联网技术专业“四平台”人才培养模式创新与实践研究，2012/4-2017/7，排名第二，结项。计</w:t>
            </w:r>
            <w:r>
              <w:rPr>
                <w:rFonts w:hint="eastAsia" w:ascii="宋体" w:hAnsi="宋体" w:cs="宋体"/>
                <w:b w:val="0"/>
                <w:bCs w:val="0"/>
                <w:lang w:val="en-US" w:eastAsia="zh-CN"/>
              </w:rPr>
              <w:t>1.8</w:t>
            </w:r>
            <w:r>
              <w:rPr>
                <w:rFonts w:hint="eastAsia" w:ascii="宋体" w:hAnsi="宋体" w:eastAsia="宋体" w:cs="宋体"/>
                <w:b w:val="0"/>
                <w:bCs w:val="0"/>
                <w:lang w:val="en-US" w:eastAsia="zh-CN"/>
              </w:rPr>
              <w:t>分</w:t>
            </w:r>
          </w:p>
          <w:p w14:paraId="12341147">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cs="宋体"/>
                <w:b w:val="0"/>
                <w:bCs w:val="0"/>
                <w:lang w:val="en-US" w:eastAsia="zh-CN"/>
              </w:rPr>
              <w:t>16.</w:t>
            </w:r>
            <w:r>
              <w:rPr>
                <w:rFonts w:hint="eastAsia" w:ascii="宋体" w:hAnsi="宋体" w:eastAsia="宋体" w:cs="宋体"/>
                <w:b w:val="0"/>
                <w:bCs w:val="0"/>
                <w:lang w:val="en-US" w:eastAsia="zh-CN"/>
              </w:rPr>
              <w:t>张微，湖南省教育科学“十二五”规划项目大学英语研究项目，XJK12YYB032，物联网技术在高职英语教学中的应用研究，2012/4-2015/7，排名第三，结项。计3分</w:t>
            </w:r>
          </w:p>
          <w:p w14:paraId="73FEDEAA">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cs="宋体"/>
                <w:b w:val="0"/>
                <w:bCs w:val="0"/>
                <w:lang w:val="en-US" w:eastAsia="zh-CN"/>
              </w:rPr>
              <w:t>17.</w:t>
            </w:r>
            <w:r>
              <w:rPr>
                <w:rFonts w:hint="eastAsia" w:ascii="宋体" w:hAnsi="宋体" w:eastAsia="宋体" w:cs="宋体"/>
                <w:b w:val="0"/>
                <w:bCs w:val="0"/>
                <w:lang w:val="en-US" w:eastAsia="zh-CN"/>
              </w:rPr>
              <w:t>彭艺，湖南省教育科学“十二五”规划重点资助项目，XJK014AFZ002，协同进化视角下湖南现代职业教育层次拓展研究，2014/7-2019/4，排名第二，结项。计7.2分</w:t>
            </w:r>
          </w:p>
          <w:p w14:paraId="6E5F3B88">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cs="宋体"/>
                <w:b w:val="0"/>
                <w:bCs w:val="0"/>
                <w:lang w:val="en-US" w:eastAsia="zh-CN"/>
              </w:rPr>
              <w:t>18.</w:t>
            </w:r>
            <w:r>
              <w:rPr>
                <w:rFonts w:hint="eastAsia" w:ascii="宋体" w:hAnsi="宋体" w:eastAsia="宋体" w:cs="宋体"/>
                <w:b w:val="0"/>
                <w:bCs w:val="0"/>
                <w:lang w:val="en-US" w:eastAsia="zh-CN"/>
              </w:rPr>
              <w:t>刘艳，湖南省职业院校教育教学改革一般项目，ZJGB2019123，一流特色专业群背景下大数据专业教学资源库存建设与实践研究，2019/7-2023/4，排名第三，结项。计1.2分</w:t>
            </w:r>
          </w:p>
          <w:p w14:paraId="3824AF3C">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b w:val="0"/>
                <w:bCs w:val="0"/>
                <w:lang w:val="en-US" w:eastAsia="zh-CN"/>
              </w:rPr>
            </w:pPr>
            <w:r>
              <w:rPr>
                <w:rFonts w:hint="eastAsia" w:ascii="宋体" w:hAnsi="宋体" w:cs="宋体"/>
                <w:b w:val="0"/>
                <w:bCs w:val="0"/>
                <w:lang w:val="en-US" w:eastAsia="zh-CN"/>
              </w:rPr>
              <w:t>19</w:t>
            </w:r>
            <w:r>
              <w:rPr>
                <w:rFonts w:hint="eastAsia" w:ascii="宋体" w:hAnsi="宋体" w:eastAsia="宋体" w:cs="宋体"/>
                <w:b w:val="0"/>
                <w:bCs w:val="0"/>
                <w:lang w:val="en-US" w:eastAsia="zh-CN"/>
              </w:rPr>
              <w:t>.李杰平，广西教育科学“十三五”规划项目重点资助项目，2019A033，广西毛南族地区普惠性幼儿园保教质量诊断与改进研究，2019/7-2025/4，排名第三，结项；计4.8分</w:t>
            </w:r>
          </w:p>
          <w:p w14:paraId="7FEE7E7C">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b w:val="0"/>
                <w:bCs w:val="0"/>
                <w:lang w:val="en-US" w:eastAsia="zh-CN"/>
              </w:rPr>
            </w:pPr>
            <w:r>
              <w:rPr>
                <w:rFonts w:hint="eastAsia" w:ascii="宋体" w:hAnsi="宋体" w:eastAsia="宋体" w:cs="宋体"/>
                <w:b w:val="0"/>
                <w:bCs w:val="0"/>
                <w:lang w:val="en-US" w:eastAsia="zh-CN"/>
              </w:rPr>
              <w:t>20.黄亚宇，国家社科基金教育学一般项目，BJA230026，职业院校混合所有制办学的产权风险与法律规制，2023/7-至今，排名第六，在研；计5.4分</w:t>
            </w:r>
          </w:p>
          <w:p w14:paraId="02F03074">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21.钟绍辉，湖南省科技创新计划决策咨询项目,2025ZL3015,人工智能赋能湖南制造业和服务业深度融合的路径研究，2025-至今，排名第三，在研；计1.62分</w:t>
            </w:r>
          </w:p>
          <w:p w14:paraId="66BC50BB">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22.马萌，湖南省教育科学“十四五”规划一般项目，XJK22CZY001,基于“岗课赛证”融通模式的高职大数据技术专业在线课程实施优化路径研究，2022-2024，排名第六，结项；计0.9分</w:t>
            </w:r>
          </w:p>
          <w:p w14:paraId="3979CC96">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color w:val="0000FF"/>
                <w:szCs w:val="21"/>
                <w:lang w:val="en-US" w:eastAsia="zh-CN"/>
              </w:rPr>
            </w:pPr>
            <w:r>
              <w:rPr>
                <w:rFonts w:hint="eastAsia" w:ascii="宋体" w:hAnsi="宋体" w:eastAsia="宋体" w:cs="宋体"/>
                <w:b w:val="0"/>
                <w:bCs w:val="0"/>
                <w:lang w:val="en-US" w:eastAsia="zh-CN"/>
              </w:rPr>
              <w:t>23.黄珊，湖南省职业院校教育教学改革社区教育项目，</w:t>
            </w:r>
            <w:r>
              <w:rPr>
                <w:rFonts w:hint="default" w:ascii="宋体" w:hAnsi="宋体" w:eastAsia="宋体" w:cs="宋体"/>
                <w:b w:val="0"/>
                <w:bCs w:val="0"/>
                <w:lang w:val="en-US" w:eastAsia="zh-CN"/>
              </w:rPr>
              <w:t>ZJGB2022132</w:t>
            </w:r>
            <w:r>
              <w:rPr>
                <w:rFonts w:hint="eastAsia" w:ascii="宋体" w:hAnsi="宋体" w:eastAsia="宋体" w:cs="宋体"/>
                <w:b w:val="0"/>
                <w:bCs w:val="0"/>
                <w:lang w:val="en-US" w:eastAsia="zh-CN"/>
              </w:rPr>
              <w:t>，学分银行推动社区教育的动力机制研究</w:t>
            </w:r>
            <w:r>
              <w:rPr>
                <w:rFonts w:hint="default" w:ascii="宋体" w:hAnsi="宋体" w:eastAsia="宋体" w:cs="宋体"/>
                <w:b w:val="0"/>
                <w:bCs w:val="0"/>
                <w:lang w:val="en-US" w:eastAsia="zh-CN"/>
              </w:rPr>
              <w:t>--</w:t>
            </w:r>
            <w:r>
              <w:rPr>
                <w:rFonts w:hint="eastAsia" w:ascii="宋体" w:hAnsi="宋体" w:eastAsia="宋体" w:cs="宋体"/>
                <w:b w:val="0"/>
                <w:bCs w:val="0"/>
                <w:lang w:val="en-US" w:eastAsia="zh-CN"/>
              </w:rPr>
              <w:t>基于湖南个案的探讨，2022-到今，在研，排名第四，在研；计0.36</w:t>
            </w:r>
          </w:p>
        </w:tc>
        <w:tc>
          <w:tcPr>
            <w:tcW w:w="1076" w:type="dxa"/>
            <w:tcBorders>
              <w:top w:val="single" w:color="auto" w:sz="4" w:space="0"/>
              <w:bottom w:val="single" w:color="auto" w:sz="4" w:space="0"/>
            </w:tcBorders>
            <w:vAlign w:val="center"/>
          </w:tcPr>
          <w:p w14:paraId="48E7DE2A">
            <w:pPr>
              <w:adjustRightInd w:val="0"/>
              <w:snapToGrid w:val="0"/>
              <w:spacing w:line="276" w:lineRule="auto"/>
              <w:jc w:val="center"/>
              <w:rPr>
                <w:rFonts w:hint="default"/>
                <w:szCs w:val="21"/>
                <w:lang w:val="en-US" w:eastAsia="zh-CN"/>
              </w:rPr>
            </w:pPr>
            <w:r>
              <w:rPr>
                <w:rFonts w:hint="eastAsia"/>
                <w:szCs w:val="21"/>
                <w:lang w:val="en-US" w:eastAsia="zh-CN"/>
              </w:rPr>
              <w:t>345.28</w:t>
            </w:r>
          </w:p>
        </w:tc>
        <w:tc>
          <w:tcPr>
            <w:tcW w:w="1274" w:type="dxa"/>
            <w:tcBorders>
              <w:top w:val="single" w:color="auto" w:sz="4" w:space="0"/>
              <w:bottom w:val="single" w:color="auto" w:sz="4" w:space="0"/>
            </w:tcBorders>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298.44</w:t>
            </w:r>
          </w:p>
        </w:tc>
        <w:tc>
          <w:tcPr>
            <w:tcW w:w="2331" w:type="dxa"/>
            <w:tcBorders>
              <w:top w:val="single" w:color="auto" w:sz="4" w:space="0"/>
              <w:bottom w:val="single" w:color="auto" w:sz="4" w:space="0"/>
              <w:right w:val="single" w:color="auto" w:sz="4" w:space="0"/>
            </w:tcBorders>
            <w:vAlign w:val="center"/>
          </w:tcPr>
          <w:p w14:paraId="5BFDD522">
            <w:pPr>
              <w:adjustRightInd w:val="0"/>
              <w:snapToGrid w:val="0"/>
              <w:spacing w:line="276" w:lineRule="auto"/>
              <w:jc w:val="center"/>
              <w:rPr>
                <w:rFonts w:hint="eastAsia" w:eastAsia="宋体"/>
                <w:color w:val="A6A6A6" w:themeColor="background1" w:themeShade="A6"/>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tcBorders>
              <w:top w:val="single" w:color="auto" w:sz="4" w:space="0"/>
              <w:left w:val="single" w:color="auto" w:sz="4" w:space="0"/>
            </w:tcBorders>
            <w:vAlign w:val="center"/>
          </w:tcPr>
          <w:p w14:paraId="79327FAC">
            <w:pPr>
              <w:adjustRightInd w:val="0"/>
              <w:snapToGrid w:val="0"/>
              <w:spacing w:line="276" w:lineRule="auto"/>
              <w:jc w:val="center"/>
              <w:rPr>
                <w:b/>
                <w:szCs w:val="21"/>
              </w:rPr>
            </w:pPr>
          </w:p>
        </w:tc>
        <w:tc>
          <w:tcPr>
            <w:tcW w:w="1206" w:type="dxa"/>
            <w:tcBorders>
              <w:top w:val="single" w:color="auto" w:sz="4" w:space="0"/>
            </w:tcBorders>
            <w:vAlign w:val="center"/>
          </w:tcPr>
          <w:p w14:paraId="05987D4F">
            <w:pPr>
              <w:adjustRightInd w:val="0"/>
              <w:snapToGrid w:val="0"/>
              <w:spacing w:line="276" w:lineRule="auto"/>
              <w:jc w:val="center"/>
              <w:rPr>
                <w:rFonts w:hint="default"/>
                <w:szCs w:val="21"/>
                <w:lang w:val="en-US" w:eastAsia="zh-CN"/>
              </w:rPr>
            </w:pPr>
            <w:r>
              <w:rPr>
                <w:rFonts w:hint="eastAsia"/>
                <w:szCs w:val="21"/>
                <w:lang w:val="en-US" w:eastAsia="zh-CN"/>
              </w:rPr>
              <w:t>4-4-2</w:t>
            </w:r>
          </w:p>
        </w:tc>
        <w:tc>
          <w:tcPr>
            <w:tcW w:w="14617" w:type="dxa"/>
            <w:gridSpan w:val="10"/>
            <w:tcBorders>
              <w:top w:val="single" w:color="auto" w:sz="4" w:space="0"/>
            </w:tcBorders>
            <w:vAlign w:val="center"/>
          </w:tcPr>
          <w:p w14:paraId="3E5B9331">
            <w:pPr>
              <w:adjustRightInd w:val="0"/>
              <w:snapToGrid w:val="0"/>
              <w:spacing w:line="276" w:lineRule="auto"/>
              <w:rPr>
                <w:rFonts w:hint="eastAsia" w:eastAsia="宋体"/>
                <w:color w:val="auto"/>
                <w:szCs w:val="21"/>
                <w:lang w:val="en-US" w:eastAsia="zh-CN"/>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横向项目</w:t>
            </w:r>
            <w:r>
              <w:rPr>
                <w:rFonts w:hint="eastAsia"/>
                <w:color w:val="558ED5" w:themeColor="text2" w:themeTint="99"/>
                <w:szCs w:val="21"/>
                <w:lang w:val="en-US" w:eastAsia="zh-CN"/>
                <w14:textFill>
                  <w14:solidFill>
                    <w14:schemeClr w14:val="tx2">
                      <w14:lumMod w14:val="60000"/>
                      <w14:lumOff w14:val="40000"/>
                    </w14:schemeClr>
                  </w14:solidFill>
                </w14:textFill>
              </w:rPr>
              <w:t>：</w:t>
            </w:r>
            <w:r>
              <w:rPr>
                <w:rFonts w:hint="eastAsia"/>
                <w:b w:val="0"/>
                <w:bCs w:val="0"/>
                <w:vertAlign w:val="baseline"/>
                <w:lang w:val="en-US" w:eastAsia="zh-CN"/>
              </w:rPr>
              <w:t>无</w:t>
            </w:r>
          </w:p>
        </w:tc>
        <w:tc>
          <w:tcPr>
            <w:tcW w:w="1076" w:type="dxa"/>
            <w:tcBorders>
              <w:top w:val="single" w:color="auto" w:sz="4" w:space="0"/>
            </w:tcBorders>
            <w:vAlign w:val="center"/>
          </w:tcPr>
          <w:p w14:paraId="53E56880">
            <w:pPr>
              <w:adjustRightInd w:val="0"/>
              <w:snapToGrid w:val="0"/>
              <w:spacing w:line="276" w:lineRule="auto"/>
              <w:jc w:val="center"/>
              <w:rPr>
                <w:szCs w:val="21"/>
              </w:rPr>
            </w:pPr>
          </w:p>
        </w:tc>
        <w:tc>
          <w:tcPr>
            <w:tcW w:w="1274" w:type="dxa"/>
            <w:tcBorders>
              <w:top w:val="single" w:color="auto" w:sz="4" w:space="0"/>
            </w:tcBorders>
            <w:vAlign w:val="center"/>
          </w:tcPr>
          <w:p w14:paraId="08C20BE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tcBorders>
              <w:top w:val="single" w:color="auto" w:sz="4" w:space="0"/>
            </w:tcBorders>
            <w:vAlign w:val="center"/>
          </w:tcPr>
          <w:p w14:paraId="1CC1C82F">
            <w:pPr>
              <w:adjustRightInd w:val="0"/>
              <w:snapToGrid w:val="0"/>
              <w:spacing w:line="276" w:lineRule="auto"/>
              <w:jc w:val="center"/>
              <w:rPr>
                <w:rFonts w:hint="eastAsia" w:eastAsia="宋体"/>
                <w:color w:val="A6A6A6" w:themeColor="background1" w:themeShade="A6"/>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1" w:hRule="atLeast"/>
        </w:trPr>
        <w:tc>
          <w:tcPr>
            <w:tcW w:w="646" w:type="dxa"/>
            <w:vMerge w:val="continue"/>
            <w:tcBorders>
              <w:left w:val="single" w:color="auto" w:sz="4" w:space="0"/>
            </w:tcBorders>
            <w:vAlign w:val="center"/>
          </w:tcPr>
          <w:p w14:paraId="5ED83615">
            <w:pPr>
              <w:adjustRightInd w:val="0"/>
              <w:snapToGrid w:val="0"/>
              <w:spacing w:line="276" w:lineRule="auto"/>
              <w:jc w:val="center"/>
              <w:rPr>
                <w:b/>
                <w:szCs w:val="21"/>
              </w:rPr>
            </w:pPr>
          </w:p>
        </w:tc>
        <w:tc>
          <w:tcPr>
            <w:tcW w:w="1206" w:type="dxa"/>
            <w:vAlign w:val="center"/>
          </w:tcPr>
          <w:p w14:paraId="7EAF159E">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617" w:type="dxa"/>
            <w:gridSpan w:val="10"/>
            <w:vAlign w:val="center"/>
          </w:tcPr>
          <w:p w14:paraId="462DC5A3">
            <w:pPr>
              <w:adjustRightInd w:val="0"/>
              <w:snapToGrid w:val="0"/>
              <w:spacing w:line="276" w:lineRule="auto"/>
              <w:rPr>
                <w:rFonts w:hint="eastAsia"/>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成果奖励</w:t>
            </w:r>
          </w:p>
          <w:p w14:paraId="46E83130">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color w:val="000000" w:themeColor="text1"/>
                <w:szCs w:val="21"/>
                <w14:textFill>
                  <w14:solidFill>
                    <w14:schemeClr w14:val="tx1"/>
                  </w14:solidFill>
                </w14:textFill>
              </w:rPr>
            </w:pPr>
            <w:r>
              <w:rPr>
                <w:rFonts w:hint="eastAsia"/>
                <w:b w:val="0"/>
                <w:bCs w:val="0"/>
                <w:vertAlign w:val="baseline"/>
                <w:lang w:val="en-US" w:eastAsia="zh-CN"/>
              </w:rPr>
              <w:t>1.彭艺，银奕淇，张远康等，省级，高校内部会计控制新论，湖南省教育厅，湖南省教育科学研究优秀成果二等奖，排名第二，2014,5；</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80</w:t>
            </w:r>
            <w:r>
              <w:rPr>
                <w:rFonts w:hint="eastAsia"/>
                <w:color w:val="000000" w:themeColor="text1"/>
                <w:szCs w:val="21"/>
                <w14:textFill>
                  <w14:solidFill>
                    <w14:schemeClr w14:val="tx1"/>
                  </w14:solidFill>
                </w14:textFill>
              </w:rPr>
              <w:t>分</w:t>
            </w:r>
          </w:p>
          <w:p w14:paraId="5CC04E4A">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2.银奕淇</w:t>
            </w:r>
            <w:r>
              <w:rPr>
                <w:rFonts w:hint="eastAsia"/>
                <w:b w:val="0"/>
                <w:bCs w:val="0"/>
                <w:vertAlign w:val="baseline"/>
                <w:lang w:val="en-US" w:eastAsia="zh-CN"/>
              </w:rPr>
              <w:t>，</w:t>
            </w:r>
            <w:r>
              <w:rPr>
                <w:rFonts w:hint="eastAsia" w:asciiTheme="minorEastAsia" w:hAnsiTheme="minorEastAsia" w:eastAsiaTheme="minorEastAsia" w:cstheme="minorEastAsia"/>
                <w:lang w:val="en-US" w:eastAsia="zh-CN"/>
              </w:rPr>
              <w:t>“数字湖南”视野下高职物联网应用技术专业建设创新与实践，湖南省社会科学成果评审委员会成果鉴定，湖南省社会科学成果评审委员会，排名第一，2018，通过。</w:t>
            </w:r>
          </w:p>
          <w:p w14:paraId="085B6291">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Theme="minorEastAsia" w:hAnsiTheme="minorEastAsia" w:eastAsiaTheme="minorEastAsia" w:cstheme="minorEastAsia"/>
                <w:lang w:val="en-US" w:eastAsia="zh-CN"/>
              </w:rPr>
            </w:pPr>
            <w:r>
              <w:rPr>
                <w:rFonts w:hint="eastAsia"/>
                <w:color w:val="000000" w:themeColor="text1"/>
                <w:szCs w:val="21"/>
                <w:lang w:val="en-US" w:eastAsia="zh-CN"/>
                <w14:textFill>
                  <w14:solidFill>
                    <w14:schemeClr w14:val="tx1"/>
                  </w14:solidFill>
                </w14:textFill>
              </w:rPr>
              <w:t>3.银奕淇</w:t>
            </w:r>
            <w:r>
              <w:rPr>
                <w:rFonts w:hint="eastAsia"/>
                <w:b w:val="0"/>
                <w:bCs w:val="0"/>
                <w:vertAlign w:val="baseline"/>
                <w:lang w:val="en-US" w:eastAsia="zh-CN"/>
              </w:rPr>
              <w:t>，</w:t>
            </w:r>
            <w:r>
              <w:rPr>
                <w:rFonts w:hint="eastAsia" w:asciiTheme="minorEastAsia" w:hAnsiTheme="minorEastAsia" w:eastAsiaTheme="minorEastAsia" w:cstheme="minorEastAsia"/>
                <w:lang w:val="en-US" w:eastAsia="zh-CN"/>
              </w:rPr>
              <w:t>行业型职业教育集团内涵发展研究，湖南省社会科学成果评审委员会成果鉴定，湖南省社会科学成果评审委员会，排名第一，2020，通过。</w:t>
            </w:r>
          </w:p>
          <w:p w14:paraId="19E43A98">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w:t>
            </w:r>
            <w:r>
              <w:rPr>
                <w:rFonts w:hint="eastAsia"/>
                <w:color w:val="000000" w:themeColor="text1"/>
                <w:szCs w:val="21"/>
                <w:highlight w:val="none"/>
                <w:lang w:val="en-US" w:eastAsia="zh-CN"/>
                <w14:textFill>
                  <w14:solidFill>
                    <w14:schemeClr w14:val="tx1"/>
                  </w14:solidFill>
                </w14:textFill>
              </w:rPr>
              <w:t>刘艳,高职教育数字化专业教学资源</w:t>
            </w:r>
            <w:r>
              <w:rPr>
                <w:rFonts w:hint="eastAsia" w:asciiTheme="minorEastAsia" w:hAnsiTheme="minorEastAsia" w:eastAsiaTheme="minorEastAsia" w:cstheme="minorEastAsia"/>
                <w:lang w:val="en-US" w:eastAsia="zh-CN"/>
              </w:rPr>
              <w:t>建设研究，湖南省社会科学成果评审委员会成果鉴定，湖南省社会科学成果评审委员会，排名第五，2024年，通过。</w:t>
            </w:r>
          </w:p>
        </w:tc>
        <w:tc>
          <w:tcPr>
            <w:tcW w:w="1076" w:type="dxa"/>
            <w:vAlign w:val="center"/>
          </w:tcPr>
          <w:p w14:paraId="30B56F5B">
            <w:pPr>
              <w:adjustRightInd w:val="0"/>
              <w:snapToGrid w:val="0"/>
              <w:spacing w:line="276" w:lineRule="auto"/>
              <w:jc w:val="center"/>
              <w:rPr>
                <w:rFonts w:hint="default" w:eastAsia="宋体"/>
                <w:szCs w:val="21"/>
                <w:lang w:val="en-US" w:eastAsia="zh-CN"/>
              </w:rPr>
            </w:pPr>
            <w:r>
              <w:rPr>
                <w:rFonts w:hint="eastAsia"/>
                <w:szCs w:val="21"/>
                <w:lang w:val="en-US" w:eastAsia="zh-CN"/>
              </w:rPr>
              <w:t>80</w:t>
            </w:r>
          </w:p>
        </w:tc>
        <w:tc>
          <w:tcPr>
            <w:tcW w:w="1274" w:type="dxa"/>
            <w:vAlign w:val="center"/>
          </w:tcPr>
          <w:p w14:paraId="3993CEE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80</w:t>
            </w:r>
          </w:p>
        </w:tc>
        <w:tc>
          <w:tcPr>
            <w:tcW w:w="2331" w:type="dxa"/>
            <w:vAlign w:val="center"/>
          </w:tcPr>
          <w:p w14:paraId="4B655018">
            <w:pPr>
              <w:adjustRightInd w:val="0"/>
              <w:snapToGrid w:val="0"/>
              <w:spacing w:line="276" w:lineRule="auto"/>
              <w:jc w:val="center"/>
              <w:rPr>
                <w:rFonts w:hint="eastAsia" w:eastAsia="宋体"/>
                <w:color w:val="A6A6A6" w:themeColor="background1" w:themeShade="A6"/>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tcBorders>
              <w:left w:val="single" w:color="auto" w:sz="4" w:space="0"/>
            </w:tcBorders>
            <w:vAlign w:val="center"/>
          </w:tcPr>
          <w:p w14:paraId="0D25EA14">
            <w:pPr>
              <w:adjustRightInd w:val="0"/>
              <w:snapToGrid w:val="0"/>
              <w:spacing w:line="276" w:lineRule="auto"/>
              <w:jc w:val="center"/>
              <w:rPr>
                <w:b/>
                <w:szCs w:val="21"/>
              </w:rPr>
            </w:pPr>
          </w:p>
        </w:tc>
        <w:tc>
          <w:tcPr>
            <w:tcW w:w="1206" w:type="dxa"/>
            <w:vAlign w:val="center"/>
          </w:tcPr>
          <w:p w14:paraId="2C2CD238">
            <w:pPr>
              <w:adjustRightInd w:val="0"/>
              <w:snapToGrid w:val="0"/>
              <w:spacing w:line="276" w:lineRule="auto"/>
              <w:jc w:val="center"/>
              <w:rPr>
                <w:szCs w:val="21"/>
              </w:rPr>
            </w:pPr>
            <w:r>
              <w:rPr>
                <w:rFonts w:hint="eastAsia"/>
                <w:szCs w:val="21"/>
              </w:rPr>
              <w:t>4-6</w:t>
            </w:r>
          </w:p>
        </w:tc>
        <w:tc>
          <w:tcPr>
            <w:tcW w:w="14617" w:type="dxa"/>
            <w:gridSpan w:val="10"/>
            <w:vAlign w:val="center"/>
          </w:tcPr>
          <w:p w14:paraId="64BAED2A">
            <w:p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成果转化：</w:t>
            </w:r>
            <w:r>
              <w:rPr>
                <w:rFonts w:hint="eastAsia"/>
                <w:color w:val="000000" w:themeColor="text1"/>
                <w:szCs w:val="21"/>
                <w:lang w:val="en-US" w:eastAsia="zh-CN"/>
                <w14:textFill>
                  <w14:solidFill>
                    <w14:schemeClr w14:val="tx1"/>
                  </w14:solidFill>
                </w14:textFill>
              </w:rPr>
              <w:t>无</w:t>
            </w:r>
          </w:p>
        </w:tc>
        <w:tc>
          <w:tcPr>
            <w:tcW w:w="1076" w:type="dxa"/>
            <w:vAlign w:val="center"/>
          </w:tcPr>
          <w:p w14:paraId="3EAF8E55">
            <w:pPr>
              <w:adjustRightInd w:val="0"/>
              <w:snapToGrid w:val="0"/>
              <w:spacing w:line="276" w:lineRule="auto"/>
              <w:jc w:val="center"/>
              <w:rPr>
                <w:szCs w:val="21"/>
              </w:rPr>
            </w:pPr>
          </w:p>
        </w:tc>
        <w:tc>
          <w:tcPr>
            <w:tcW w:w="1274"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C332703">
            <w:pPr>
              <w:adjustRightInd w:val="0"/>
              <w:snapToGrid w:val="0"/>
              <w:spacing w:line="276" w:lineRule="auto"/>
              <w:jc w:val="center"/>
              <w:rPr>
                <w:rFonts w:hint="eastAsia" w:eastAsia="宋体"/>
                <w:color w:val="A6A6A6" w:themeColor="background1" w:themeShade="A6"/>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left w:val="single" w:color="auto" w:sz="4" w:space="0"/>
            </w:tcBorders>
            <w:vAlign w:val="center"/>
          </w:tcPr>
          <w:p w14:paraId="3145B9CD">
            <w:pPr>
              <w:adjustRightInd w:val="0"/>
              <w:snapToGrid w:val="0"/>
              <w:spacing w:line="276" w:lineRule="auto"/>
              <w:jc w:val="center"/>
              <w:rPr>
                <w:b w:val="0"/>
                <w:bCs/>
                <w:szCs w:val="21"/>
              </w:rPr>
            </w:pPr>
          </w:p>
        </w:tc>
        <w:tc>
          <w:tcPr>
            <w:tcW w:w="1206" w:type="dxa"/>
            <w:vAlign w:val="center"/>
          </w:tcPr>
          <w:p w14:paraId="21DC4AD4">
            <w:pPr>
              <w:adjustRightInd w:val="0"/>
              <w:snapToGrid w:val="0"/>
              <w:spacing w:line="276" w:lineRule="auto"/>
              <w:jc w:val="center"/>
              <w:rPr>
                <w:b w:val="0"/>
                <w:bCs/>
                <w:szCs w:val="21"/>
              </w:rPr>
            </w:pPr>
            <w:r>
              <w:rPr>
                <w:rFonts w:hint="eastAsia"/>
                <w:b w:val="0"/>
                <w:bCs/>
                <w:szCs w:val="21"/>
              </w:rPr>
              <w:t>4-7</w:t>
            </w:r>
          </w:p>
        </w:tc>
        <w:tc>
          <w:tcPr>
            <w:tcW w:w="14617" w:type="dxa"/>
            <w:gridSpan w:val="10"/>
            <w:vAlign w:val="center"/>
          </w:tcPr>
          <w:p w14:paraId="1CEE5CCA">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咨询报告或领导批示</w:t>
            </w:r>
          </w:p>
          <w:p w14:paraId="5AE354A4">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b w:val="0"/>
                <w:bCs w:val="0"/>
                <w:lang w:val="en-US" w:eastAsia="zh-CN"/>
              </w:rPr>
            </w:pPr>
            <w:r>
              <w:rPr>
                <w:rFonts w:hint="eastAsia" w:ascii="宋体" w:hAnsi="宋体" w:cs="宋体"/>
                <w:b w:val="0"/>
                <w:bCs w:val="0"/>
                <w:lang w:val="en-US" w:eastAsia="zh-CN"/>
              </w:rPr>
              <w:t>1</w:t>
            </w:r>
            <w:r>
              <w:rPr>
                <w:rFonts w:hint="eastAsia" w:ascii="宋体" w:hAnsi="宋体" w:eastAsia="宋体" w:cs="宋体"/>
                <w:b w:val="0"/>
                <w:bCs w:val="0"/>
                <w:lang w:val="en-US" w:eastAsia="zh-CN"/>
              </w:rPr>
              <w:t>.2022年，《关于深入开展全省校高学历继续教育专项整治的情况汇报》，形成省教育厅向省政府的汇报材料。计100分</w:t>
            </w:r>
          </w:p>
          <w:p w14:paraId="506DF122">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1.2022年，《关于深入开展全省校高学历继续教育专项整治的情况汇报》，被省政府采纳，形成湖南省人民政府秦国文副省长的汇报材料。计200分</w:t>
            </w:r>
          </w:p>
          <w:p w14:paraId="0F21BFFD">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2.2022年，《关于深入开展全省校高学历继续教育专项整治的情况汇报》，获毛伟明省长批示“赞成下步工作，拨乱反正，违章立纠，规范运行，形成好的工作机制和氛围”。计150分</w:t>
            </w:r>
          </w:p>
          <w:p w14:paraId="69CB8572">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3.2022年，《湖南省高等学历继续教育专项督查情况的分析报告》一文形成湖南省直机关发电</w:t>
            </w:r>
            <w:r>
              <w:rPr>
                <w:rFonts w:hint="eastAsia" w:ascii="宋体" w:hAnsi="宋体" w:cs="宋体"/>
                <w:b w:val="0"/>
                <w:bCs w:val="0"/>
                <w:lang w:val="en-US" w:eastAsia="zh-CN"/>
              </w:rPr>
              <w:t>，</w:t>
            </w:r>
            <w:r>
              <w:rPr>
                <w:rFonts w:hint="eastAsia" w:ascii="宋体" w:hAnsi="宋体" w:eastAsia="宋体" w:cs="宋体"/>
                <w:b w:val="0"/>
                <w:bCs w:val="0"/>
                <w:lang w:val="en-US" w:eastAsia="zh-CN"/>
              </w:rPr>
              <w:t>等级：特急</w:t>
            </w:r>
            <w:r>
              <w:rPr>
                <w:rFonts w:hint="eastAsia" w:ascii="微软雅黑" w:hAnsi="微软雅黑" w:eastAsia="微软雅黑" w:cs="微软雅黑"/>
                <w:b w:val="0"/>
                <w:bCs w:val="0"/>
                <w:lang w:val="en-US" w:eastAsia="zh-CN"/>
              </w:rPr>
              <w:t>·</w:t>
            </w:r>
            <w:r>
              <w:rPr>
                <w:rFonts w:hint="eastAsia" w:ascii="宋体" w:hAnsi="宋体" w:eastAsia="宋体" w:cs="宋体"/>
                <w:b w:val="0"/>
                <w:bCs w:val="0"/>
                <w:lang w:val="en-US" w:eastAsia="zh-CN"/>
              </w:rPr>
              <w:t>明电。计100分</w:t>
            </w:r>
          </w:p>
          <w:p w14:paraId="5E4C14DF">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b w:val="0"/>
                <w:bCs w:val="0"/>
                <w:lang w:val="en-US" w:eastAsia="zh-CN"/>
              </w:rPr>
            </w:pPr>
            <w:r>
              <w:rPr>
                <w:rFonts w:hint="eastAsia" w:ascii="宋体" w:hAnsi="宋体" w:eastAsia="宋体" w:cs="宋体"/>
                <w:b w:val="0"/>
                <w:bCs w:val="0"/>
                <w:lang w:val="en-US" w:eastAsia="zh-CN"/>
              </w:rPr>
              <w:t>4.2022年，《湖南省高等学历继续教育专项督查情况的分析报告》获省纪委王双全书记批示“在深化整改上还要继续发力”。计60分</w:t>
            </w:r>
          </w:p>
          <w:p w14:paraId="0ADE7BEE">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Times New Roman" w:hAnsi="Times New Roman" w:eastAsia="宋体" w:cs="Times New Roman"/>
                <w:b w:val="0"/>
                <w:bCs w:val="0"/>
                <w:color w:val="auto"/>
                <w:vertAlign w:val="baseline"/>
                <w:lang w:val="en-US" w:eastAsia="zh-CN"/>
              </w:rPr>
            </w:pPr>
            <w:r>
              <w:rPr>
                <w:rFonts w:hint="eastAsia" w:ascii="宋体" w:hAnsi="宋体" w:cs="宋体"/>
                <w:b w:val="0"/>
                <w:bCs w:val="0"/>
                <w:lang w:val="en-US" w:eastAsia="zh-CN"/>
              </w:rPr>
              <w:t>5.2023年，《2023年湖南省高等学历继续教育专业设置管理工作报告》一文形成湖南省教育厅向教育部报送的函件</w:t>
            </w:r>
            <w:r>
              <w:rPr>
                <w:rFonts w:hint="eastAsia" w:ascii="Times New Roman" w:hAnsi="Times New Roman" w:eastAsia="宋体" w:cs="Times New Roman"/>
                <w:b w:val="0"/>
                <w:bCs w:val="0"/>
                <w:color w:val="auto"/>
                <w:vertAlign w:val="baseline"/>
                <w:lang w:val="en-US" w:eastAsia="zh-CN"/>
              </w:rPr>
              <w:t>（湘教通〔2020〕289号）</w:t>
            </w:r>
            <w:r>
              <w:rPr>
                <w:rFonts w:hint="eastAsia" w:cs="Times New Roman"/>
                <w:b w:val="0"/>
                <w:bCs w:val="0"/>
                <w:color w:val="auto"/>
                <w:vertAlign w:val="baseline"/>
                <w:lang w:val="en-US" w:eastAsia="zh-CN"/>
              </w:rPr>
              <w:t>，计100分。</w:t>
            </w:r>
          </w:p>
          <w:p w14:paraId="264C3D36">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cs="宋体"/>
                <w:b w:val="0"/>
                <w:bCs w:val="0"/>
                <w:lang w:val="en-US" w:eastAsia="zh-CN"/>
              </w:rPr>
              <w:t>6</w:t>
            </w:r>
            <w:r>
              <w:rPr>
                <w:rFonts w:hint="eastAsia" w:ascii="宋体" w:hAnsi="宋体" w:eastAsia="宋体" w:cs="宋体"/>
                <w:b w:val="0"/>
                <w:bCs w:val="0"/>
                <w:lang w:val="en-US" w:eastAsia="zh-CN"/>
              </w:rPr>
              <w:t>.2022年， 《湖南省高等学校学历继续教育问题专项整治工作方案》</w:t>
            </w:r>
            <w:r>
              <w:rPr>
                <w:rFonts w:hint="eastAsia" w:ascii="宋体" w:hAnsi="宋体" w:cs="宋体"/>
                <w:b w:val="0"/>
                <w:bCs w:val="0"/>
                <w:lang w:val="en-US" w:eastAsia="zh-CN"/>
              </w:rPr>
              <w:t>，</w:t>
            </w:r>
            <w:r>
              <w:rPr>
                <w:rFonts w:hint="eastAsia" w:ascii="宋体" w:hAnsi="宋体" w:eastAsia="宋体" w:cs="宋体"/>
                <w:b w:val="0"/>
                <w:bCs w:val="0"/>
                <w:lang w:val="en-US" w:eastAsia="zh-CN"/>
              </w:rPr>
              <w:t>湖南省教育厅委托起草规范性文件。计30分</w:t>
            </w:r>
          </w:p>
          <w:p w14:paraId="3FAD8C4B">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cs="宋体"/>
                <w:b w:val="0"/>
                <w:bCs w:val="0"/>
                <w:lang w:val="en-US" w:eastAsia="zh-CN"/>
              </w:rPr>
              <w:t>7</w:t>
            </w:r>
            <w:r>
              <w:rPr>
                <w:rFonts w:hint="eastAsia" w:ascii="宋体" w:hAnsi="宋体" w:eastAsia="宋体" w:cs="宋体"/>
                <w:b w:val="0"/>
                <w:bCs w:val="0"/>
                <w:lang w:val="en-US" w:eastAsia="zh-CN"/>
              </w:rPr>
              <w:t>.2023年，《湖南省高等学历继续教育校外教学点设置及管理办法》</w:t>
            </w:r>
            <w:r>
              <w:rPr>
                <w:rFonts w:hint="eastAsia" w:ascii="宋体" w:hAnsi="宋体" w:cs="宋体"/>
                <w:b w:val="0"/>
                <w:bCs w:val="0"/>
                <w:lang w:val="en-US" w:eastAsia="zh-CN"/>
              </w:rPr>
              <w:t>，</w:t>
            </w:r>
            <w:r>
              <w:rPr>
                <w:rFonts w:hint="eastAsia" w:ascii="宋体" w:hAnsi="宋体" w:eastAsia="宋体" w:cs="宋体"/>
                <w:b w:val="0"/>
                <w:bCs w:val="0"/>
                <w:lang w:val="en-US" w:eastAsia="zh-CN"/>
              </w:rPr>
              <w:t>湖南省教育厅委托起草规范性文件。计30分</w:t>
            </w:r>
          </w:p>
          <w:p w14:paraId="10FD162A">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cs="宋体"/>
                <w:b w:val="0"/>
                <w:bCs w:val="0"/>
                <w:lang w:val="en-US" w:eastAsia="zh-CN"/>
              </w:rPr>
              <w:t>8</w:t>
            </w:r>
            <w:r>
              <w:rPr>
                <w:rFonts w:hint="eastAsia" w:ascii="宋体" w:hAnsi="宋体" w:eastAsia="宋体" w:cs="宋体"/>
                <w:b w:val="0"/>
                <w:bCs w:val="0"/>
                <w:lang w:val="en-US" w:eastAsia="zh-CN"/>
              </w:rPr>
              <w:t>.2023年，《</w:t>
            </w:r>
            <w:r>
              <w:rPr>
                <w:rFonts w:hint="eastAsia" w:ascii="宋体" w:hAnsi="宋体" w:eastAsia="宋体" w:cs="宋体"/>
                <w:b w:val="0"/>
                <w:bCs w:val="0"/>
                <w:lang w:val="en-US" w:eastAsia="zh-CN"/>
              </w:rPr>
              <w:fldChar w:fldCharType="begin"/>
            </w:r>
            <w:r>
              <w:rPr>
                <w:rFonts w:hint="eastAsia" w:ascii="宋体" w:hAnsi="宋体" w:eastAsia="宋体" w:cs="宋体"/>
                <w:b w:val="0"/>
                <w:bCs w:val="0"/>
                <w:lang w:val="en-US" w:eastAsia="zh-CN"/>
              </w:rPr>
              <w:instrText xml:space="preserve"> HYPERLINK \l _Toc8707 </w:instrText>
            </w:r>
            <w:r>
              <w:rPr>
                <w:rFonts w:hint="eastAsia" w:ascii="宋体" w:hAnsi="宋体" w:eastAsia="宋体" w:cs="宋体"/>
                <w:b w:val="0"/>
                <w:bCs w:val="0"/>
                <w:lang w:val="en-US" w:eastAsia="zh-CN"/>
              </w:rPr>
              <w:fldChar w:fldCharType="separate"/>
            </w:r>
            <w:r>
              <w:rPr>
                <w:rFonts w:hint="eastAsia" w:ascii="宋体" w:hAnsi="宋体" w:eastAsia="宋体" w:cs="宋体"/>
                <w:b w:val="0"/>
                <w:bCs w:val="0"/>
                <w:lang w:val="en-US" w:eastAsia="zh-CN"/>
              </w:rPr>
              <w:t>关于推进新时代湖南省高等学校学历继续教育改革的实施意见</w:t>
            </w:r>
            <w:r>
              <w:rPr>
                <w:rFonts w:hint="eastAsia" w:ascii="宋体" w:hAnsi="宋体" w:eastAsia="宋体" w:cs="宋体"/>
                <w:b w:val="0"/>
                <w:bCs w:val="0"/>
                <w:lang w:val="en-US" w:eastAsia="zh-CN"/>
              </w:rPr>
              <w:fldChar w:fldCharType="end"/>
            </w:r>
            <w:r>
              <w:rPr>
                <w:rFonts w:hint="eastAsia" w:ascii="宋体" w:hAnsi="宋体" w:eastAsia="宋体" w:cs="宋体"/>
                <w:b w:val="0"/>
                <w:bCs w:val="0"/>
                <w:lang w:val="en-US" w:eastAsia="zh-CN"/>
              </w:rPr>
              <w:t>》</w:t>
            </w:r>
            <w:r>
              <w:rPr>
                <w:rFonts w:hint="eastAsia" w:ascii="宋体" w:hAnsi="宋体" w:cs="宋体"/>
                <w:b w:val="0"/>
                <w:bCs w:val="0"/>
                <w:lang w:val="en-US" w:eastAsia="zh-CN"/>
              </w:rPr>
              <w:t>，</w:t>
            </w:r>
            <w:r>
              <w:rPr>
                <w:rFonts w:hint="eastAsia" w:ascii="宋体" w:hAnsi="宋体" w:eastAsia="宋体" w:cs="宋体"/>
                <w:b w:val="0"/>
                <w:bCs w:val="0"/>
                <w:lang w:val="en-US" w:eastAsia="zh-CN"/>
              </w:rPr>
              <w:t>湖南省教育厅委托起草规范性文件 。计30分</w:t>
            </w:r>
          </w:p>
          <w:p w14:paraId="77278F02">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b w:val="0"/>
                <w:bCs w:val="0"/>
                <w:lang w:val="en-US" w:eastAsia="zh-CN"/>
              </w:rPr>
            </w:pPr>
            <w:r>
              <w:rPr>
                <w:rFonts w:hint="eastAsia" w:ascii="宋体" w:hAnsi="宋体" w:cs="宋体"/>
                <w:b w:val="0"/>
                <w:bCs w:val="0"/>
                <w:lang w:val="en-US" w:eastAsia="zh-CN"/>
              </w:rPr>
              <w:t>9</w:t>
            </w:r>
            <w:r>
              <w:rPr>
                <w:rFonts w:hint="eastAsia" w:ascii="宋体" w:hAnsi="宋体" w:eastAsia="宋体" w:cs="宋体"/>
                <w:b w:val="0"/>
                <w:bCs w:val="0"/>
                <w:lang w:val="en-US" w:eastAsia="zh-CN"/>
              </w:rPr>
              <w:t>.2020年，</w:t>
            </w:r>
            <w:r>
              <w:rPr>
                <w:rFonts w:hint="eastAsia" w:ascii="宋体" w:hAnsi="宋体" w:cs="宋体"/>
                <w:b w:val="0"/>
                <w:bCs w:val="0"/>
                <w:lang w:val="en-US" w:eastAsia="zh-CN"/>
              </w:rPr>
              <w:t>《</w:t>
            </w:r>
            <w:r>
              <w:rPr>
                <w:rFonts w:hint="eastAsia" w:ascii="宋体" w:hAnsi="宋体" w:eastAsia="宋体" w:cs="宋体"/>
                <w:b w:val="0"/>
                <w:bCs w:val="0"/>
                <w:lang w:val="en-US" w:eastAsia="zh-CN"/>
              </w:rPr>
              <w:t>湖南省教育厅委托编撰湖南省高等学校继续教育发展报告2019</w:t>
            </w:r>
            <w:r>
              <w:rPr>
                <w:rFonts w:hint="eastAsia" w:ascii="宋体" w:hAnsi="宋体" w:cs="宋体"/>
                <w:b w:val="0"/>
                <w:bCs w:val="0"/>
                <w:lang w:val="en-US" w:eastAsia="zh-CN"/>
              </w:rPr>
              <w:t>》</w:t>
            </w:r>
            <w:r>
              <w:rPr>
                <w:rFonts w:hint="eastAsia" w:ascii="宋体" w:hAnsi="宋体" w:eastAsia="宋体" w:cs="宋体"/>
                <w:b w:val="0"/>
                <w:bCs w:val="0"/>
                <w:lang w:val="en-US" w:eastAsia="zh-CN"/>
              </w:rPr>
              <w:t>，并报教育部。计20分</w:t>
            </w:r>
          </w:p>
          <w:p w14:paraId="1795253F">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b w:val="0"/>
                <w:bCs w:val="0"/>
                <w:lang w:val="en-US" w:eastAsia="zh-CN"/>
              </w:rPr>
            </w:pPr>
            <w:r>
              <w:rPr>
                <w:rFonts w:hint="eastAsia" w:ascii="宋体" w:hAnsi="宋体" w:cs="宋体"/>
                <w:b w:val="0"/>
                <w:bCs w:val="0"/>
                <w:lang w:val="en-US" w:eastAsia="zh-CN"/>
              </w:rPr>
              <w:t>10</w:t>
            </w:r>
            <w:r>
              <w:rPr>
                <w:rFonts w:hint="eastAsia" w:ascii="宋体" w:hAnsi="宋体" w:eastAsia="宋体" w:cs="宋体"/>
                <w:b w:val="0"/>
                <w:bCs w:val="0"/>
                <w:lang w:val="en-US" w:eastAsia="zh-CN"/>
              </w:rPr>
              <w:t>.2021年，</w:t>
            </w:r>
            <w:r>
              <w:rPr>
                <w:rFonts w:hint="eastAsia" w:ascii="宋体" w:hAnsi="宋体" w:cs="宋体"/>
                <w:b w:val="0"/>
                <w:bCs w:val="0"/>
                <w:lang w:val="en-US" w:eastAsia="zh-CN"/>
              </w:rPr>
              <w:t>《</w:t>
            </w:r>
            <w:r>
              <w:rPr>
                <w:rFonts w:hint="eastAsia" w:ascii="宋体" w:hAnsi="宋体" w:eastAsia="宋体" w:cs="宋体"/>
                <w:b w:val="0"/>
                <w:bCs w:val="0"/>
                <w:lang w:val="en-US" w:eastAsia="zh-CN"/>
              </w:rPr>
              <w:t>湖南省教育厅委托编撰湖南省高等学校继续教育发展报告2020</w:t>
            </w:r>
            <w:r>
              <w:rPr>
                <w:rFonts w:hint="eastAsia" w:ascii="宋体" w:hAnsi="宋体" w:cs="宋体"/>
                <w:b w:val="0"/>
                <w:bCs w:val="0"/>
                <w:lang w:val="en-US" w:eastAsia="zh-CN"/>
              </w:rPr>
              <w:t>》</w:t>
            </w:r>
            <w:r>
              <w:rPr>
                <w:rFonts w:hint="eastAsia" w:ascii="宋体" w:hAnsi="宋体" w:eastAsia="宋体" w:cs="宋体"/>
                <w:b w:val="0"/>
                <w:bCs w:val="0"/>
                <w:lang w:val="en-US" w:eastAsia="zh-CN"/>
              </w:rPr>
              <w:t>，并报教育部。计20分</w:t>
            </w:r>
          </w:p>
          <w:p w14:paraId="3BD10BB2">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b w:val="0"/>
                <w:bCs w:val="0"/>
                <w:lang w:val="en-US" w:eastAsia="zh-CN"/>
              </w:rPr>
            </w:pPr>
            <w:r>
              <w:rPr>
                <w:rFonts w:hint="eastAsia" w:ascii="宋体" w:hAnsi="宋体" w:cs="宋体"/>
                <w:b w:val="0"/>
                <w:bCs w:val="0"/>
                <w:lang w:val="en-US" w:eastAsia="zh-CN"/>
              </w:rPr>
              <w:t>11</w:t>
            </w:r>
            <w:r>
              <w:rPr>
                <w:rFonts w:hint="eastAsia" w:ascii="宋体" w:hAnsi="宋体" w:eastAsia="宋体" w:cs="宋体"/>
                <w:b w:val="0"/>
                <w:bCs w:val="0"/>
                <w:lang w:val="en-US" w:eastAsia="zh-CN"/>
              </w:rPr>
              <w:t>.2022年，</w:t>
            </w:r>
            <w:r>
              <w:rPr>
                <w:rFonts w:hint="eastAsia" w:ascii="宋体" w:hAnsi="宋体" w:cs="宋体"/>
                <w:b w:val="0"/>
                <w:bCs w:val="0"/>
                <w:lang w:val="en-US" w:eastAsia="zh-CN"/>
              </w:rPr>
              <w:t>《</w:t>
            </w:r>
            <w:r>
              <w:rPr>
                <w:rFonts w:hint="eastAsia" w:ascii="宋体" w:hAnsi="宋体" w:eastAsia="宋体" w:cs="宋体"/>
                <w:b w:val="0"/>
                <w:bCs w:val="0"/>
                <w:lang w:val="en-US" w:eastAsia="zh-CN"/>
              </w:rPr>
              <w:t>湖南省教育厅委托编撰湖南省高等学校继续教育发展报告2021</w:t>
            </w:r>
            <w:r>
              <w:rPr>
                <w:rFonts w:hint="eastAsia" w:ascii="宋体" w:hAnsi="宋体" w:cs="宋体"/>
                <w:b w:val="0"/>
                <w:bCs w:val="0"/>
                <w:lang w:val="en-US" w:eastAsia="zh-CN"/>
              </w:rPr>
              <w:t>》</w:t>
            </w:r>
            <w:r>
              <w:rPr>
                <w:rFonts w:hint="eastAsia" w:ascii="宋体" w:hAnsi="宋体" w:eastAsia="宋体" w:cs="宋体"/>
                <w:b w:val="0"/>
                <w:bCs w:val="0"/>
                <w:lang w:val="en-US" w:eastAsia="zh-CN"/>
              </w:rPr>
              <w:t>，并报教育部。计20分</w:t>
            </w:r>
          </w:p>
          <w:p w14:paraId="1D80631B">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cs="宋体"/>
                <w:b w:val="0"/>
                <w:bCs w:val="0"/>
                <w:lang w:val="en-US" w:eastAsia="zh-CN"/>
              </w:rPr>
              <w:t>12</w:t>
            </w:r>
            <w:r>
              <w:rPr>
                <w:rFonts w:hint="eastAsia" w:ascii="宋体" w:hAnsi="宋体" w:eastAsia="宋体" w:cs="宋体"/>
                <w:b w:val="0"/>
                <w:bCs w:val="0"/>
                <w:lang w:val="en-US" w:eastAsia="zh-CN"/>
              </w:rPr>
              <w:t>.2023年，</w:t>
            </w:r>
            <w:r>
              <w:rPr>
                <w:rFonts w:hint="eastAsia" w:ascii="宋体" w:hAnsi="宋体" w:cs="宋体"/>
                <w:b w:val="0"/>
                <w:bCs w:val="0"/>
                <w:lang w:val="en-US" w:eastAsia="zh-CN"/>
              </w:rPr>
              <w:t>《</w:t>
            </w:r>
            <w:r>
              <w:rPr>
                <w:rFonts w:hint="eastAsia" w:ascii="宋体" w:hAnsi="宋体" w:eastAsia="宋体" w:cs="宋体"/>
                <w:b w:val="0"/>
                <w:bCs w:val="0"/>
                <w:lang w:val="en-US" w:eastAsia="zh-CN"/>
              </w:rPr>
              <w:t>湖南省教育厅委托编撰湖南省高等学校继续教育发展报告2022</w:t>
            </w:r>
            <w:r>
              <w:rPr>
                <w:rFonts w:hint="eastAsia" w:ascii="宋体" w:hAnsi="宋体" w:cs="宋体"/>
                <w:b w:val="0"/>
                <w:bCs w:val="0"/>
                <w:lang w:val="en-US" w:eastAsia="zh-CN"/>
              </w:rPr>
              <w:t>》</w:t>
            </w:r>
            <w:r>
              <w:rPr>
                <w:rFonts w:hint="eastAsia" w:ascii="宋体" w:hAnsi="宋体" w:eastAsia="宋体" w:cs="宋体"/>
                <w:b w:val="0"/>
                <w:bCs w:val="0"/>
                <w:lang w:val="en-US" w:eastAsia="zh-CN"/>
              </w:rPr>
              <w:t>，并报教育部。计20分</w:t>
            </w:r>
          </w:p>
          <w:p w14:paraId="441E1C1B">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cs="宋体"/>
                <w:lang w:val="en-US" w:eastAsia="zh-CN"/>
              </w:rPr>
            </w:pPr>
            <w:r>
              <w:rPr>
                <w:rFonts w:hint="eastAsia" w:ascii="宋体" w:hAnsi="宋体" w:cs="宋体"/>
                <w:b w:val="0"/>
                <w:bCs w:val="0"/>
                <w:lang w:val="en-US" w:eastAsia="zh-CN"/>
              </w:rPr>
              <w:t>13.2022年，《</w:t>
            </w: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_Toc24665 </w:instrText>
            </w:r>
            <w:r>
              <w:rPr>
                <w:rFonts w:hint="eastAsia" w:ascii="宋体" w:hAnsi="宋体" w:eastAsia="宋体" w:cs="宋体"/>
                <w:lang w:val="en-US" w:eastAsia="zh-CN"/>
              </w:rPr>
              <w:fldChar w:fldCharType="separate"/>
            </w:r>
            <w:r>
              <w:rPr>
                <w:rFonts w:hint="default" w:ascii="宋体" w:hAnsi="宋体" w:eastAsia="宋体" w:cs="宋体"/>
                <w:lang w:val="en-US" w:eastAsia="zh-CN"/>
              </w:rPr>
              <w:t>贯通“两个责任”稳步推进高等学校学历继续教育专项整治工作</w:t>
            </w:r>
            <w:r>
              <w:rPr>
                <w:rFonts w:hint="eastAsia" w:ascii="宋体" w:hAnsi="宋体" w:eastAsia="宋体" w:cs="宋体"/>
                <w:lang w:val="en-US" w:eastAsia="zh-CN"/>
              </w:rPr>
              <w:fldChar w:fldCharType="end"/>
            </w:r>
            <w:r>
              <w:rPr>
                <w:rFonts w:hint="eastAsia" w:ascii="宋体" w:hAnsi="宋体" w:cs="宋体"/>
                <w:lang w:val="en-US" w:eastAsia="zh-CN"/>
              </w:rPr>
              <w:t>》</w:t>
            </w:r>
            <w:r>
              <w:rPr>
                <w:rFonts w:hint="eastAsia" w:ascii="宋体" w:hAnsi="宋体" w:eastAsia="宋体" w:cs="宋体"/>
                <w:lang w:val="en-US" w:eastAsia="zh-CN"/>
              </w:rPr>
              <w:t>，湖南教育快讯第215期，省直</w:t>
            </w:r>
            <w:r>
              <w:rPr>
                <w:rFonts w:hint="eastAsia" w:ascii="宋体" w:hAnsi="宋体" w:cs="宋体"/>
                <w:lang w:val="en-US" w:eastAsia="zh-CN"/>
              </w:rPr>
              <w:t>厅级</w:t>
            </w:r>
            <w:r>
              <w:rPr>
                <w:rFonts w:hint="eastAsia" w:ascii="宋体" w:hAnsi="宋体" w:eastAsia="宋体" w:cs="宋体"/>
                <w:lang w:val="en-US" w:eastAsia="zh-CN"/>
              </w:rPr>
              <w:t>采纳的咨询</w:t>
            </w:r>
            <w:r>
              <w:rPr>
                <w:rFonts w:hint="eastAsia" w:ascii="宋体" w:hAnsi="宋体" w:cs="宋体"/>
                <w:lang w:val="en-US" w:eastAsia="zh-CN"/>
              </w:rPr>
              <w:t>报告。计20分</w:t>
            </w:r>
          </w:p>
          <w:p w14:paraId="2483CDE0">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cs="宋体"/>
                <w:lang w:val="en-US" w:eastAsia="zh-CN"/>
              </w:rPr>
            </w:pPr>
            <w:r>
              <w:rPr>
                <w:rFonts w:hint="eastAsia" w:ascii="宋体" w:hAnsi="宋体" w:cs="宋体"/>
                <w:lang w:val="en-US" w:eastAsia="zh-CN"/>
              </w:rPr>
              <w:t>14.2022年，《</w:t>
            </w:r>
            <w:r>
              <w:rPr>
                <w:rFonts w:hint="eastAsia" w:ascii="宋体" w:hAnsi="宋体" w:eastAsia="宋体" w:cs="宋体"/>
                <w:lang w:val="en-US" w:eastAsia="zh-CN"/>
              </w:rPr>
              <w:t>念好“四字诀”打好“组合拳”推动高等学历继续教育专项整治走深走实</w:t>
            </w:r>
            <w:r>
              <w:rPr>
                <w:rFonts w:hint="eastAsia" w:ascii="宋体" w:hAnsi="宋体" w:cs="宋体"/>
                <w:lang w:val="en-US" w:eastAsia="zh-CN"/>
              </w:rPr>
              <w:t>》，</w:t>
            </w:r>
            <w:r>
              <w:rPr>
                <w:rFonts w:hint="eastAsia" w:ascii="宋体" w:hAnsi="宋体" w:eastAsia="宋体" w:cs="宋体"/>
                <w:lang w:val="en-US" w:eastAsia="zh-CN"/>
              </w:rPr>
              <w:t>湖南教育快讯第2</w:t>
            </w:r>
            <w:r>
              <w:rPr>
                <w:rFonts w:hint="eastAsia" w:ascii="宋体" w:hAnsi="宋体" w:cs="宋体"/>
                <w:lang w:val="en-US" w:eastAsia="zh-CN"/>
              </w:rPr>
              <w:t>46</w:t>
            </w:r>
            <w:r>
              <w:rPr>
                <w:rFonts w:hint="eastAsia" w:ascii="宋体" w:hAnsi="宋体" w:eastAsia="宋体" w:cs="宋体"/>
                <w:lang w:val="en-US" w:eastAsia="zh-CN"/>
              </w:rPr>
              <w:t>期，省直</w:t>
            </w:r>
            <w:r>
              <w:rPr>
                <w:rFonts w:hint="eastAsia" w:ascii="宋体" w:hAnsi="宋体" w:cs="宋体"/>
                <w:lang w:val="en-US" w:eastAsia="zh-CN"/>
              </w:rPr>
              <w:t>厅级</w:t>
            </w:r>
            <w:r>
              <w:rPr>
                <w:rFonts w:hint="eastAsia" w:ascii="宋体" w:hAnsi="宋体" w:eastAsia="宋体" w:cs="宋体"/>
                <w:lang w:val="en-US" w:eastAsia="zh-CN"/>
              </w:rPr>
              <w:t>采纳的咨询</w:t>
            </w:r>
            <w:r>
              <w:rPr>
                <w:rFonts w:hint="eastAsia" w:ascii="宋体" w:hAnsi="宋体" w:cs="宋体"/>
                <w:lang w:val="en-US" w:eastAsia="zh-CN"/>
              </w:rPr>
              <w:t>报告。计20分</w:t>
            </w:r>
          </w:p>
          <w:p w14:paraId="70EC0E35">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cs="宋体"/>
                <w:lang w:val="en-US" w:eastAsia="zh-CN"/>
              </w:rPr>
            </w:pPr>
            <w:r>
              <w:rPr>
                <w:rFonts w:hint="eastAsia" w:ascii="宋体" w:hAnsi="宋体" w:cs="宋体"/>
                <w:lang w:val="en-US" w:eastAsia="zh-CN"/>
              </w:rPr>
              <w:t>15.2023年，《</w:t>
            </w:r>
            <w:r>
              <w:rPr>
                <w:rFonts w:hint="default" w:ascii="宋体" w:hAnsi="宋体" w:eastAsia="宋体" w:cs="宋体"/>
                <w:lang w:val="en-US" w:eastAsia="zh-CN"/>
              </w:rPr>
              <w:t>精心组织专项督查集中整治高等学历继续教育突出问题</w:t>
            </w:r>
            <w:r>
              <w:rPr>
                <w:rFonts w:hint="eastAsia" w:ascii="宋体" w:hAnsi="宋体" w:cs="宋体"/>
                <w:lang w:val="en-US" w:eastAsia="zh-CN"/>
              </w:rPr>
              <w:t>》，</w:t>
            </w:r>
            <w:r>
              <w:rPr>
                <w:rFonts w:hint="eastAsia" w:ascii="宋体" w:hAnsi="宋体" w:eastAsia="宋体" w:cs="宋体"/>
                <w:lang w:val="en-US" w:eastAsia="zh-CN"/>
              </w:rPr>
              <w:t>湖南教育快讯第</w:t>
            </w:r>
            <w:r>
              <w:rPr>
                <w:rFonts w:hint="eastAsia" w:ascii="宋体" w:hAnsi="宋体" w:cs="宋体"/>
                <w:lang w:val="en-US" w:eastAsia="zh-CN"/>
              </w:rPr>
              <w:t>10</w:t>
            </w:r>
            <w:r>
              <w:rPr>
                <w:rFonts w:hint="eastAsia" w:ascii="宋体" w:hAnsi="宋体" w:eastAsia="宋体" w:cs="宋体"/>
                <w:lang w:val="en-US" w:eastAsia="zh-CN"/>
              </w:rPr>
              <w:t>期，省直</w:t>
            </w:r>
            <w:r>
              <w:rPr>
                <w:rFonts w:hint="eastAsia" w:ascii="宋体" w:hAnsi="宋体" w:cs="宋体"/>
                <w:lang w:val="en-US" w:eastAsia="zh-CN"/>
              </w:rPr>
              <w:t>厅级</w:t>
            </w:r>
            <w:r>
              <w:rPr>
                <w:rFonts w:hint="eastAsia" w:ascii="宋体" w:hAnsi="宋体" w:eastAsia="宋体" w:cs="宋体"/>
                <w:lang w:val="en-US" w:eastAsia="zh-CN"/>
              </w:rPr>
              <w:t>采纳的咨询</w:t>
            </w:r>
            <w:r>
              <w:rPr>
                <w:rFonts w:hint="eastAsia" w:ascii="宋体" w:hAnsi="宋体" w:cs="宋体"/>
                <w:lang w:val="en-US" w:eastAsia="zh-CN"/>
              </w:rPr>
              <w:t>报告。计20分</w:t>
            </w:r>
          </w:p>
          <w:p w14:paraId="20004BB1">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cs="宋体"/>
                <w:lang w:val="en-US" w:eastAsia="zh-CN"/>
              </w:rPr>
            </w:pPr>
            <w:r>
              <w:rPr>
                <w:rFonts w:hint="eastAsia" w:ascii="宋体" w:hAnsi="宋体" w:cs="宋体"/>
                <w:lang w:val="en-US" w:eastAsia="zh-CN"/>
              </w:rPr>
              <w:t>16.2023年，《</w:t>
            </w: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_Toc18228 </w:instrText>
            </w:r>
            <w:r>
              <w:rPr>
                <w:rFonts w:hint="eastAsia" w:ascii="宋体" w:hAnsi="宋体" w:eastAsia="宋体" w:cs="宋体"/>
                <w:lang w:val="en-US" w:eastAsia="zh-CN"/>
              </w:rPr>
              <w:fldChar w:fldCharType="separate"/>
            </w:r>
            <w:r>
              <w:rPr>
                <w:rFonts w:hint="default" w:ascii="宋体" w:hAnsi="宋体" w:eastAsia="宋体" w:cs="宋体"/>
                <w:lang w:val="en-US" w:eastAsia="zh-CN"/>
              </w:rPr>
              <w:t>抓要害</w:t>
            </w:r>
            <w:r>
              <w:rPr>
                <w:rFonts w:hint="eastAsia" w:ascii="宋体" w:hAnsi="宋体" w:eastAsia="宋体" w:cs="宋体"/>
                <w:lang w:val="en-US" w:eastAsia="zh-CN"/>
              </w:rPr>
              <w:t xml:space="preserve"> </w:t>
            </w:r>
            <w:r>
              <w:rPr>
                <w:rFonts w:hint="default" w:ascii="宋体" w:hAnsi="宋体" w:eastAsia="宋体" w:cs="宋体"/>
                <w:lang w:val="en-US" w:eastAsia="zh-CN"/>
              </w:rPr>
              <w:t>除痼疾</w:t>
            </w:r>
            <w:r>
              <w:rPr>
                <w:rFonts w:hint="eastAsia" w:ascii="宋体" w:hAnsi="宋体" w:eastAsia="宋体" w:cs="宋体"/>
                <w:lang w:val="en-US" w:eastAsia="zh-CN"/>
              </w:rPr>
              <w:t xml:space="preserve"> </w:t>
            </w:r>
            <w:r>
              <w:rPr>
                <w:rFonts w:hint="default" w:ascii="宋体" w:hAnsi="宋体" w:eastAsia="宋体" w:cs="宋体"/>
                <w:lang w:val="en-US" w:eastAsia="zh-CN"/>
              </w:rPr>
              <w:t>全省高等学历继续教育专项整治成效明显</w:t>
            </w:r>
            <w:r>
              <w:rPr>
                <w:rFonts w:hint="eastAsia" w:ascii="宋体" w:hAnsi="宋体" w:eastAsia="宋体" w:cs="宋体"/>
                <w:lang w:val="en-US" w:eastAsia="zh-CN"/>
              </w:rPr>
              <w:fldChar w:fldCharType="end"/>
            </w:r>
            <w:r>
              <w:rPr>
                <w:rFonts w:hint="eastAsia" w:ascii="宋体" w:hAnsi="宋体" w:cs="宋体"/>
                <w:lang w:val="en-US" w:eastAsia="zh-CN"/>
              </w:rPr>
              <w:t>》</w:t>
            </w:r>
            <w:r>
              <w:rPr>
                <w:rFonts w:hint="eastAsia" w:ascii="宋体" w:hAnsi="宋体" w:eastAsia="宋体" w:cs="宋体"/>
                <w:lang w:val="en-US" w:eastAsia="zh-CN"/>
              </w:rPr>
              <w:t>，湖南教育快讯第147期，省直</w:t>
            </w:r>
            <w:r>
              <w:rPr>
                <w:rFonts w:hint="eastAsia" w:ascii="宋体" w:hAnsi="宋体" w:cs="宋体"/>
                <w:lang w:val="en-US" w:eastAsia="zh-CN"/>
              </w:rPr>
              <w:t>厅级</w:t>
            </w:r>
            <w:r>
              <w:rPr>
                <w:rFonts w:hint="eastAsia" w:ascii="宋体" w:hAnsi="宋体" w:eastAsia="宋体" w:cs="宋体"/>
                <w:lang w:val="en-US" w:eastAsia="zh-CN"/>
              </w:rPr>
              <w:t>采纳的咨询</w:t>
            </w:r>
            <w:r>
              <w:rPr>
                <w:rFonts w:hint="eastAsia" w:ascii="宋体" w:hAnsi="宋体" w:cs="宋体"/>
                <w:lang w:val="en-US" w:eastAsia="zh-CN"/>
              </w:rPr>
              <w:t>报告。计20分</w:t>
            </w:r>
          </w:p>
        </w:tc>
        <w:tc>
          <w:tcPr>
            <w:tcW w:w="1076" w:type="dxa"/>
            <w:vAlign w:val="center"/>
          </w:tcPr>
          <w:p w14:paraId="32216470">
            <w:pPr>
              <w:adjustRightInd w:val="0"/>
              <w:snapToGrid w:val="0"/>
              <w:spacing w:line="276" w:lineRule="auto"/>
              <w:jc w:val="center"/>
              <w:rPr>
                <w:rFonts w:hint="default" w:eastAsia="宋体"/>
                <w:szCs w:val="21"/>
                <w:lang w:val="en-US" w:eastAsia="zh-CN"/>
              </w:rPr>
            </w:pPr>
            <w:r>
              <w:rPr>
                <w:rFonts w:hint="eastAsia"/>
                <w:szCs w:val="21"/>
                <w:lang w:val="en-US" w:eastAsia="zh-CN"/>
              </w:rPr>
              <w:t>960</w:t>
            </w:r>
          </w:p>
        </w:tc>
        <w:tc>
          <w:tcPr>
            <w:tcW w:w="1274" w:type="dxa"/>
            <w:vAlign w:val="center"/>
          </w:tcPr>
          <w:p w14:paraId="3D28B72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90</w:t>
            </w:r>
          </w:p>
        </w:tc>
        <w:tc>
          <w:tcPr>
            <w:tcW w:w="2331" w:type="dxa"/>
            <w:vAlign w:val="center"/>
          </w:tcPr>
          <w:p w14:paraId="4777223A">
            <w:pPr>
              <w:adjustRightInd w:val="0"/>
              <w:snapToGrid w:val="0"/>
              <w:spacing w:line="276" w:lineRule="auto"/>
              <w:jc w:val="center"/>
              <w:rPr>
                <w:rFonts w:hint="eastAsia"/>
                <w:color w:val="A6A6A6" w:themeColor="background1" w:themeShade="A6"/>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left w:val="single" w:color="auto" w:sz="4" w:space="0"/>
            </w:tcBorders>
            <w:vAlign w:val="center"/>
          </w:tcPr>
          <w:p w14:paraId="15D058AB">
            <w:pPr>
              <w:adjustRightInd w:val="0"/>
              <w:snapToGrid w:val="0"/>
              <w:spacing w:line="276" w:lineRule="auto"/>
              <w:jc w:val="center"/>
              <w:rPr>
                <w:b w:val="0"/>
                <w:bCs/>
                <w:szCs w:val="21"/>
              </w:rPr>
            </w:pPr>
          </w:p>
        </w:tc>
        <w:tc>
          <w:tcPr>
            <w:tcW w:w="1206" w:type="dxa"/>
            <w:vAlign w:val="center"/>
          </w:tcPr>
          <w:p w14:paraId="4103D2C9">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617" w:type="dxa"/>
            <w:gridSpan w:val="10"/>
            <w:vAlign w:val="center"/>
          </w:tcPr>
          <w:p w14:paraId="535C246A">
            <w:pPr>
              <w:adjustRightInd w:val="0"/>
              <w:snapToGrid w:val="0"/>
              <w:spacing w:line="276" w:lineRule="auto"/>
              <w:rPr>
                <w:rFonts w:hint="eastAsia"/>
                <w:b w:val="0"/>
                <w:bCs/>
                <w:color w:val="558ED5" w:themeColor="text2" w:themeTint="99"/>
                <w:szCs w:val="21"/>
                <w:lang w:val="en-US" w:eastAsia="zh-CN"/>
                <w14:textFill>
                  <w14:solidFill>
                    <w14:schemeClr w14:val="tx2">
                      <w14:lumMod w14:val="60000"/>
                      <w14:lumOff w14:val="40000"/>
                    </w14:schemeClr>
                  </w14:solidFill>
                </w14:textFill>
              </w:rPr>
            </w:pPr>
            <w:r>
              <w:rPr>
                <w:rFonts w:hint="eastAsia"/>
                <w:b w:val="0"/>
                <w:bCs/>
                <w:color w:val="558ED5" w:themeColor="text2" w:themeTint="99"/>
                <w:szCs w:val="21"/>
                <w:lang w:val="en-US" w:eastAsia="zh-CN"/>
                <w14:textFill>
                  <w14:solidFill>
                    <w14:schemeClr w14:val="tx2">
                      <w14:lumMod w14:val="60000"/>
                      <w14:lumOff w14:val="40000"/>
                    </w14:schemeClr>
                  </w14:solidFill>
                </w14:textFill>
              </w:rPr>
              <w:t>担任科技特派员</w:t>
            </w:r>
          </w:p>
          <w:p w14:paraId="7B17E285">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如有，请写明担任时间等信息。</w:t>
            </w:r>
          </w:p>
        </w:tc>
        <w:tc>
          <w:tcPr>
            <w:tcW w:w="1076" w:type="dxa"/>
            <w:vAlign w:val="center"/>
          </w:tcPr>
          <w:p w14:paraId="0A333D98">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3617E3">
            <w:pPr>
              <w:adjustRightInd w:val="0"/>
              <w:snapToGrid w:val="0"/>
              <w:spacing w:line="276" w:lineRule="auto"/>
              <w:jc w:val="center"/>
              <w:rPr>
                <w:rFonts w:hint="default"/>
                <w:color w:val="A6A6A6" w:themeColor="background1" w:themeShade="A6"/>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206" w:type="dxa"/>
            <w:vAlign w:val="center"/>
          </w:tcPr>
          <w:p w14:paraId="2F64F5FE">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4617" w:type="dxa"/>
            <w:gridSpan w:val="10"/>
            <w:vAlign w:val="center"/>
          </w:tcPr>
          <w:p w14:paraId="2AB19F5D">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标明代表作，不自评分。</w:t>
            </w:r>
          </w:p>
          <w:p w14:paraId="7E3E6264">
            <w:pPr>
              <w:adjustRightInd w:val="0"/>
              <w:snapToGrid w:val="0"/>
              <w:spacing w:line="276" w:lineRule="auto"/>
              <w:rPr>
                <w:rFonts w:hint="eastAsia"/>
                <w:color w:val="000000" w:themeColor="text1"/>
                <w:szCs w:val="21"/>
                <w14:textFill>
                  <w14:solidFill>
                    <w14:schemeClr w14:val="tx1"/>
                  </w14:solidFill>
                </w14:textFill>
              </w:rPr>
            </w:pPr>
          </w:p>
          <w:p w14:paraId="7B76A430">
            <w:pPr>
              <w:adjustRightInd w:val="0"/>
              <w:snapToGrid w:val="0"/>
              <w:spacing w:line="276" w:lineRule="auto"/>
              <w:rPr>
                <w:rFonts w:hint="eastAsia"/>
                <w:color w:val="000000" w:themeColor="text1"/>
                <w:szCs w:val="21"/>
                <w14:textFill>
                  <w14:solidFill>
                    <w14:schemeClr w14:val="tx1"/>
                  </w14:solidFill>
                </w14:textFill>
              </w:rPr>
            </w:pPr>
          </w:p>
        </w:tc>
        <w:tc>
          <w:tcPr>
            <w:tcW w:w="1076"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756F85A1">
            <w:pPr>
              <w:adjustRightInd w:val="0"/>
              <w:snapToGrid w:val="0"/>
              <w:spacing w:line="276" w:lineRule="auto"/>
              <w:jc w:val="center"/>
              <w:rPr>
                <w:b/>
                <w:szCs w:val="21"/>
              </w:rPr>
            </w:pPr>
          </w:p>
        </w:tc>
        <w:tc>
          <w:tcPr>
            <w:tcW w:w="1206" w:type="dxa"/>
            <w:vAlign w:val="center"/>
          </w:tcPr>
          <w:p w14:paraId="18D8372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617"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076"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FF0000"/>
                <w:sz w:val="24"/>
              </w:rPr>
            </w:pPr>
          </w:p>
        </w:tc>
      </w:tr>
      <w:bookmarkEnd w:id="4"/>
    </w:tbl>
    <w:p w14:paraId="4BDEEE30">
      <w:pPr>
        <w:rPr>
          <w:rFonts w:hint="eastAsia"/>
          <w:b/>
          <w:sz w:val="24"/>
        </w:rPr>
      </w:pPr>
    </w:p>
    <w:p w14:paraId="036703CD">
      <w:pPr>
        <w:rPr>
          <w:rFonts w:hint="eastAsia"/>
          <w:b/>
          <w:sz w:val="24"/>
        </w:rPr>
      </w:pPr>
    </w:p>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2"/>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30C6C926-B4C0-4FD8-BF1E-2FAB5DBDFEAF}"/>
  </w:font>
  <w:font w:name="方正小标宋简体">
    <w:panose1 w:val="02000000000000000000"/>
    <w:charset w:val="86"/>
    <w:family w:val="auto"/>
    <w:pitch w:val="default"/>
    <w:sig w:usb0="00000001" w:usb1="08000000" w:usb2="00000000" w:usb3="00000000" w:csb0="00040000" w:csb1="00000000"/>
    <w:embedRegular r:id="rId2" w:fontKey="{BC55C7C6-5671-49C8-B1B8-3C21439E2702}"/>
  </w:font>
  <w:font w:name="微软雅黑">
    <w:panose1 w:val="020B0503020204020204"/>
    <w:charset w:val="86"/>
    <w:family w:val="auto"/>
    <w:pitch w:val="default"/>
    <w:sig w:usb0="80000287" w:usb1="280F3C52" w:usb2="00000016" w:usb3="00000000" w:csb0="0004001F" w:csb1="00000000"/>
    <w:embedRegular r:id="rId3" w:fontKey="{D8C978E3-395E-4DD0-B7DE-A6C1EA9FEFC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2003F90"/>
    <w:rsid w:val="06AA71FC"/>
    <w:rsid w:val="08272C79"/>
    <w:rsid w:val="0B765D27"/>
    <w:rsid w:val="0B826B70"/>
    <w:rsid w:val="0CA42D4A"/>
    <w:rsid w:val="11691059"/>
    <w:rsid w:val="120310A6"/>
    <w:rsid w:val="138B4FB9"/>
    <w:rsid w:val="15331020"/>
    <w:rsid w:val="15DE6CEC"/>
    <w:rsid w:val="15EA64E1"/>
    <w:rsid w:val="175E0926"/>
    <w:rsid w:val="183719AE"/>
    <w:rsid w:val="1A352CAC"/>
    <w:rsid w:val="1B5F527B"/>
    <w:rsid w:val="1E446A54"/>
    <w:rsid w:val="21F95B9C"/>
    <w:rsid w:val="25B2301B"/>
    <w:rsid w:val="260C4691"/>
    <w:rsid w:val="281D7F89"/>
    <w:rsid w:val="2A772858"/>
    <w:rsid w:val="2BBA09D7"/>
    <w:rsid w:val="2BE9306B"/>
    <w:rsid w:val="2C852B16"/>
    <w:rsid w:val="2D3E1194"/>
    <w:rsid w:val="2F611AB1"/>
    <w:rsid w:val="305E56A9"/>
    <w:rsid w:val="34761214"/>
    <w:rsid w:val="357B1825"/>
    <w:rsid w:val="35925696"/>
    <w:rsid w:val="38CF35E8"/>
    <w:rsid w:val="396226AE"/>
    <w:rsid w:val="3DE46258"/>
    <w:rsid w:val="3E104D62"/>
    <w:rsid w:val="3EB61481"/>
    <w:rsid w:val="3F3DCAAD"/>
    <w:rsid w:val="40DB2C76"/>
    <w:rsid w:val="43404488"/>
    <w:rsid w:val="44621D74"/>
    <w:rsid w:val="448E6105"/>
    <w:rsid w:val="45140477"/>
    <w:rsid w:val="458D6C93"/>
    <w:rsid w:val="45AB25F9"/>
    <w:rsid w:val="45AF476D"/>
    <w:rsid w:val="463B1698"/>
    <w:rsid w:val="48E91A4A"/>
    <w:rsid w:val="4A297978"/>
    <w:rsid w:val="4BC15012"/>
    <w:rsid w:val="4D534390"/>
    <w:rsid w:val="4DCD5EF0"/>
    <w:rsid w:val="4E1753BE"/>
    <w:rsid w:val="4E3502F5"/>
    <w:rsid w:val="4F8C6B6C"/>
    <w:rsid w:val="5084660D"/>
    <w:rsid w:val="52491B89"/>
    <w:rsid w:val="54380D30"/>
    <w:rsid w:val="550A1C75"/>
    <w:rsid w:val="565F6965"/>
    <w:rsid w:val="56D27CC5"/>
    <w:rsid w:val="58C145CD"/>
    <w:rsid w:val="5A243D5C"/>
    <w:rsid w:val="5A6D0CDC"/>
    <w:rsid w:val="5A706D61"/>
    <w:rsid w:val="6093187E"/>
    <w:rsid w:val="654A55BF"/>
    <w:rsid w:val="66D439F4"/>
    <w:rsid w:val="670026AE"/>
    <w:rsid w:val="67DC0040"/>
    <w:rsid w:val="68992703"/>
    <w:rsid w:val="6A010FA4"/>
    <w:rsid w:val="6AEE5503"/>
    <w:rsid w:val="6D38638D"/>
    <w:rsid w:val="6E7FD857"/>
    <w:rsid w:val="779411CB"/>
    <w:rsid w:val="77C756F2"/>
    <w:rsid w:val="79B55056"/>
    <w:rsid w:val="7B035A61"/>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5"/>
    <w:qFormat/>
    <w:uiPriority w:val="99"/>
    <w:rPr>
      <w:rFonts w:ascii="Times New Roman" w:hAnsi="Times New Roman" w:eastAsia="宋体" w:cs="Times New Roman"/>
      <w:sz w:val="18"/>
      <w:szCs w:val="18"/>
    </w:rPr>
  </w:style>
  <w:style w:type="character" w:customStyle="1" w:styleId="10">
    <w:name w:val="页脚 Char"/>
    <w:basedOn w:val="8"/>
    <w:link w:val="4"/>
    <w:qFormat/>
    <w:uiPriority w:val="99"/>
    <w:rPr>
      <w:rFonts w:ascii="Times New Roman" w:hAnsi="Times New Roman" w:eastAsia="宋体" w:cs="Times New Roman"/>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8671</Words>
  <Characters>10377</Characters>
  <Lines>30</Lines>
  <Paragraphs>8</Paragraphs>
  <TotalTime>4</TotalTime>
  <ScaleCrop>false</ScaleCrop>
  <LinksUpToDate>false</LinksUpToDate>
  <CharactersWithSpaces>10538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2025-09-07T11:39:00Z</cp:lastPrinted>
  <dcterms:modified xsi:type="dcterms:W3CDTF">2025-09-30T13:11:27Z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02CF7884354C41D6B0B699FC2E4659A6_13</vt:lpwstr>
  </property>
  <property fmtid="{D5CDD505-2E9C-101B-9397-08002B2CF9AE}" pid="4" name="KSOTemplateDocerSaveRecord">
    <vt:lpwstr>eyJoZGlkIjoiMmEwNTI4MDkzNTczZGYyZGVhNmFjNjQ1MjY0MWMwZDMiLCJ1c2VySWQiOiIyOTI0NjM5In0=</vt:lpwstr>
  </property>
</Properties>
</file>